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2412" w:rsidRDefault="00072412" w:rsidP="00014C20"/>
    <w:p w:rsidR="00A50DF0" w:rsidRDefault="00A50DF0" w:rsidP="00014C20"/>
    <w:p w:rsidR="00A50DF0" w:rsidRDefault="00A50DF0" w:rsidP="00014C20"/>
    <w:p w:rsidR="00A50DF0" w:rsidRPr="0031268D" w:rsidRDefault="00A50DF0" w:rsidP="00014C20"/>
    <w:p w:rsidR="00697AD8" w:rsidRDefault="00697AD8" w:rsidP="00014C20"/>
    <w:p w:rsidR="00F3534D" w:rsidRPr="0031268D" w:rsidRDefault="00F3534D" w:rsidP="00014C20"/>
    <w:p w:rsidR="001A683F" w:rsidRDefault="001A683F" w:rsidP="00B613A7">
      <w:pPr>
        <w:jc w:val="center"/>
        <w:rPr>
          <w:rStyle w:val="CONTENIDO"/>
          <w:rFonts w:ascii="Arial Rounded MT Bold" w:eastAsia="Times New Roman" w:hAnsi="Arial Rounded MT Bold"/>
          <w:b/>
          <w:color w:val="214F75"/>
          <w:sz w:val="36"/>
          <w:szCs w:val="36"/>
          <w:lang w:val="es-ES"/>
        </w:rPr>
      </w:pPr>
    </w:p>
    <w:p w:rsidR="00014C20" w:rsidRPr="00E469A5" w:rsidRDefault="00AB3F15" w:rsidP="0039370B">
      <w:pPr>
        <w:pStyle w:val="PORTADA"/>
      </w:pPr>
      <w:r w:rsidRPr="00E469A5">
        <w:t>PLAN DE MANEJO INTEGRADO PARA EL APROVECHAMIENTO SOSTENIBLE DEL AGUA EN EL ÁREA DE INFLUENCIA DEL ACUÍFERO HUAMANTLA-LIBRES ORIENTAL-PEROTE</w:t>
      </w:r>
    </w:p>
    <w:p w:rsidR="00014C20" w:rsidRPr="00E469A5" w:rsidRDefault="00014C20" w:rsidP="0039370B">
      <w:pPr>
        <w:pStyle w:val="PORTADA"/>
      </w:pPr>
    </w:p>
    <w:p w:rsidR="00217F48" w:rsidRPr="00E469A5" w:rsidRDefault="00217F48" w:rsidP="0039370B">
      <w:pPr>
        <w:pStyle w:val="PORTADA"/>
      </w:pPr>
    </w:p>
    <w:p w:rsidR="00D962D5" w:rsidRPr="00E469A5" w:rsidRDefault="00D962D5" w:rsidP="00B613A7">
      <w:pPr>
        <w:jc w:val="center"/>
        <w:rPr>
          <w:rStyle w:val="CONTENIDO"/>
          <w:rFonts w:ascii="Arial" w:eastAsia="Times New Roman" w:hAnsi="Arial" w:cs="Arial"/>
          <w:color w:val="214F75"/>
          <w:sz w:val="40"/>
          <w:szCs w:val="40"/>
          <w:lang w:val="es-ES"/>
        </w:rPr>
      </w:pPr>
    </w:p>
    <w:p w:rsidR="000273E6" w:rsidRPr="00E469A5" w:rsidRDefault="000273E6" w:rsidP="00014C20">
      <w:pPr>
        <w:rPr>
          <w:rFonts w:cs="Arial"/>
        </w:rPr>
      </w:pPr>
    </w:p>
    <w:p w:rsidR="00072412" w:rsidRPr="00E469A5" w:rsidRDefault="00072412" w:rsidP="00014C20">
      <w:pPr>
        <w:rPr>
          <w:rFonts w:cs="Arial"/>
        </w:rPr>
      </w:pPr>
    </w:p>
    <w:p w:rsidR="00A42474" w:rsidRPr="00E469A5" w:rsidRDefault="00A42474" w:rsidP="00014C20">
      <w:pPr>
        <w:rPr>
          <w:rFonts w:cs="Arial"/>
        </w:rPr>
      </w:pPr>
    </w:p>
    <w:p w:rsidR="00217F48" w:rsidRPr="00E469A5" w:rsidRDefault="00217F48" w:rsidP="00014C20">
      <w:pPr>
        <w:rPr>
          <w:rFonts w:cs="Arial"/>
        </w:rPr>
      </w:pPr>
    </w:p>
    <w:p w:rsidR="001E7959" w:rsidRPr="00E469A5" w:rsidRDefault="001E7959" w:rsidP="00014C20">
      <w:pPr>
        <w:rPr>
          <w:rFonts w:cs="Arial"/>
          <w:sz w:val="24"/>
          <w:szCs w:val="24"/>
        </w:rPr>
      </w:pPr>
    </w:p>
    <w:p w:rsidR="009E444E" w:rsidRPr="00E469A5" w:rsidRDefault="009E444E" w:rsidP="008011C2">
      <w:pPr>
        <w:jc w:val="center"/>
        <w:outlineLvl w:val="0"/>
        <w:rPr>
          <w:rFonts w:cs="Arial"/>
          <w:sz w:val="24"/>
          <w:szCs w:val="24"/>
        </w:rPr>
      </w:pPr>
      <w:r w:rsidRPr="00E469A5">
        <w:rPr>
          <w:rFonts w:cs="Arial"/>
          <w:sz w:val="24"/>
          <w:szCs w:val="24"/>
        </w:rPr>
        <w:t>Cont</w:t>
      </w:r>
      <w:r w:rsidR="005D6027" w:rsidRPr="00E469A5">
        <w:rPr>
          <w:rFonts w:cs="Arial"/>
          <w:sz w:val="24"/>
          <w:szCs w:val="24"/>
        </w:rPr>
        <w:t>rato No. SGT-OCB-PUE-09-P-113-RF-I3</w:t>
      </w:r>
    </w:p>
    <w:p w:rsidR="00EA0268" w:rsidRPr="00E469A5" w:rsidRDefault="00EA0268" w:rsidP="00014C20">
      <w:pPr>
        <w:rPr>
          <w:rFonts w:cs="Arial"/>
        </w:rPr>
      </w:pPr>
    </w:p>
    <w:p w:rsidR="00EA0268" w:rsidRPr="00E469A5" w:rsidRDefault="00EA0268" w:rsidP="00014C20">
      <w:pPr>
        <w:rPr>
          <w:rFonts w:cs="Arial"/>
          <w:highlight w:val="red"/>
        </w:rPr>
        <w:sectPr w:rsidR="00EA0268" w:rsidRPr="00E469A5" w:rsidSect="001A683F">
          <w:headerReference w:type="default" r:id="rId8"/>
          <w:footerReference w:type="even" r:id="rId9"/>
          <w:footerReference w:type="default" r:id="rId10"/>
          <w:pgSz w:w="12240" w:h="15840" w:code="1"/>
          <w:pgMar w:top="1701" w:right="1134" w:bottom="1701" w:left="1418" w:header="851" w:footer="0" w:gutter="0"/>
          <w:pgNumType w:fmt="upperRoman" w:start="1"/>
          <w:cols w:space="708"/>
          <w:docGrid w:linePitch="360"/>
        </w:sectPr>
      </w:pPr>
    </w:p>
    <w:p w:rsidR="00E469A5" w:rsidRDefault="00E469A5" w:rsidP="0039370B">
      <w:pPr>
        <w:pStyle w:val="PORTADA"/>
      </w:pPr>
    </w:p>
    <w:p w:rsidR="000273E6" w:rsidRDefault="000273E6" w:rsidP="008011C2">
      <w:pPr>
        <w:pStyle w:val="PORTADA"/>
        <w:outlineLvl w:val="0"/>
      </w:pPr>
      <w:r w:rsidRPr="0026694F">
        <w:t>Contenido</w:t>
      </w:r>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r w:rsidRPr="00BE2961">
        <w:rPr>
          <w:u w:val="single"/>
        </w:rPr>
        <w:fldChar w:fldCharType="begin"/>
      </w:r>
      <w:r w:rsidR="005A0BB8">
        <w:rPr>
          <w:u w:val="single"/>
        </w:rPr>
        <w:instrText xml:space="preserve"> TOC \o "1-5" \f \h \z \t "Título de índice,1" </w:instrText>
      </w:r>
      <w:r w:rsidRPr="00BE2961">
        <w:rPr>
          <w:u w:val="single"/>
        </w:rPr>
        <w:fldChar w:fldCharType="separate"/>
      </w:r>
      <w:hyperlink w:anchor="_Toc283886431" w:history="1">
        <w:r w:rsidR="000E53DB" w:rsidRPr="000601C5">
          <w:rPr>
            <w:rStyle w:val="Hipervnculo"/>
            <w:noProof/>
          </w:rPr>
          <w:t>1</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Generalidades</w:t>
        </w:r>
        <w:r w:rsidR="000E53DB">
          <w:rPr>
            <w:noProof/>
            <w:webHidden/>
          </w:rPr>
          <w:tab/>
        </w:r>
        <w:r>
          <w:rPr>
            <w:noProof/>
            <w:webHidden/>
          </w:rPr>
          <w:fldChar w:fldCharType="begin"/>
        </w:r>
        <w:r w:rsidR="000E53DB">
          <w:rPr>
            <w:noProof/>
            <w:webHidden/>
          </w:rPr>
          <w:instrText xml:space="preserve"> PAGEREF _Toc283886431 \h </w:instrText>
        </w:r>
        <w:r>
          <w:rPr>
            <w:noProof/>
            <w:webHidden/>
          </w:rPr>
        </w:r>
        <w:r>
          <w:rPr>
            <w:noProof/>
            <w:webHidden/>
          </w:rPr>
          <w:fldChar w:fldCharType="separate"/>
        </w:r>
        <w:r w:rsidR="001D49F0">
          <w:rPr>
            <w:noProof/>
            <w:webHidden/>
          </w:rPr>
          <w:t>1</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2" w:history="1">
        <w:r w:rsidR="000E53DB" w:rsidRPr="000601C5">
          <w:rPr>
            <w:rStyle w:val="Hipervnculo"/>
            <w:noProof/>
          </w:rPr>
          <w:t>1.1</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Antecedentes</w:t>
        </w:r>
        <w:r w:rsidR="000E53DB">
          <w:rPr>
            <w:noProof/>
            <w:webHidden/>
          </w:rPr>
          <w:tab/>
        </w:r>
        <w:r>
          <w:rPr>
            <w:noProof/>
            <w:webHidden/>
          </w:rPr>
          <w:fldChar w:fldCharType="begin"/>
        </w:r>
        <w:r w:rsidR="000E53DB">
          <w:rPr>
            <w:noProof/>
            <w:webHidden/>
          </w:rPr>
          <w:instrText xml:space="preserve"> PAGEREF _Toc283886432 \h </w:instrText>
        </w:r>
        <w:r>
          <w:rPr>
            <w:noProof/>
            <w:webHidden/>
          </w:rPr>
        </w:r>
        <w:r>
          <w:rPr>
            <w:noProof/>
            <w:webHidden/>
          </w:rPr>
          <w:fldChar w:fldCharType="separate"/>
        </w:r>
        <w:r w:rsidR="001D49F0">
          <w:rPr>
            <w:noProof/>
            <w:webHidden/>
          </w:rPr>
          <w:t>1</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3" w:history="1">
        <w:r w:rsidR="000E53DB" w:rsidRPr="000601C5">
          <w:rPr>
            <w:rStyle w:val="Hipervnculo"/>
            <w:noProof/>
          </w:rPr>
          <w:t>1.2</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Problem</w:t>
        </w:r>
        <w:r w:rsidR="000E53DB" w:rsidRPr="000601C5">
          <w:rPr>
            <w:rStyle w:val="Hipervnculo"/>
            <w:rFonts w:hint="eastAsia"/>
            <w:noProof/>
          </w:rPr>
          <w:t>á</w:t>
        </w:r>
        <w:r w:rsidR="000E53DB" w:rsidRPr="000601C5">
          <w:rPr>
            <w:rStyle w:val="Hipervnculo"/>
            <w:noProof/>
          </w:rPr>
          <w:t>tica</w:t>
        </w:r>
        <w:r w:rsidR="000E53DB">
          <w:rPr>
            <w:noProof/>
            <w:webHidden/>
          </w:rPr>
          <w:tab/>
        </w:r>
        <w:r>
          <w:rPr>
            <w:noProof/>
            <w:webHidden/>
          </w:rPr>
          <w:fldChar w:fldCharType="begin"/>
        </w:r>
        <w:r w:rsidR="000E53DB">
          <w:rPr>
            <w:noProof/>
            <w:webHidden/>
          </w:rPr>
          <w:instrText xml:space="preserve"> PAGEREF _Toc283886433 \h </w:instrText>
        </w:r>
        <w:r>
          <w:rPr>
            <w:noProof/>
            <w:webHidden/>
          </w:rPr>
        </w:r>
        <w:r>
          <w:rPr>
            <w:noProof/>
            <w:webHidden/>
          </w:rPr>
          <w:fldChar w:fldCharType="separate"/>
        </w:r>
        <w:r w:rsidR="001D49F0">
          <w:rPr>
            <w:noProof/>
            <w:webHidden/>
          </w:rPr>
          <w:t>2</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4" w:history="1">
        <w:r w:rsidR="000E53DB" w:rsidRPr="000601C5">
          <w:rPr>
            <w:rStyle w:val="Hipervnculo"/>
            <w:noProof/>
          </w:rPr>
          <w:t>1.3</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Justificaci</w:t>
        </w:r>
        <w:r w:rsidR="000E53DB" w:rsidRPr="000601C5">
          <w:rPr>
            <w:rStyle w:val="Hipervnculo"/>
            <w:rFonts w:hint="eastAsia"/>
            <w:noProof/>
          </w:rPr>
          <w:t>ó</w:t>
        </w:r>
        <w:r w:rsidR="000E53DB" w:rsidRPr="000601C5">
          <w:rPr>
            <w:rStyle w:val="Hipervnculo"/>
            <w:noProof/>
          </w:rPr>
          <w:t>n</w:t>
        </w:r>
        <w:r w:rsidR="000E53DB">
          <w:rPr>
            <w:noProof/>
            <w:webHidden/>
          </w:rPr>
          <w:tab/>
        </w:r>
        <w:r>
          <w:rPr>
            <w:noProof/>
            <w:webHidden/>
          </w:rPr>
          <w:fldChar w:fldCharType="begin"/>
        </w:r>
        <w:r w:rsidR="000E53DB">
          <w:rPr>
            <w:noProof/>
            <w:webHidden/>
          </w:rPr>
          <w:instrText xml:space="preserve"> PAGEREF _Toc283886434 \h </w:instrText>
        </w:r>
        <w:r>
          <w:rPr>
            <w:noProof/>
            <w:webHidden/>
          </w:rPr>
        </w:r>
        <w:r>
          <w:rPr>
            <w:noProof/>
            <w:webHidden/>
          </w:rPr>
          <w:fldChar w:fldCharType="separate"/>
        </w:r>
        <w:r w:rsidR="001D49F0">
          <w:rPr>
            <w:noProof/>
            <w:webHidden/>
          </w:rPr>
          <w:t>5</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5" w:history="1">
        <w:r w:rsidR="000E53DB" w:rsidRPr="000601C5">
          <w:rPr>
            <w:rStyle w:val="Hipervnculo"/>
            <w:noProof/>
          </w:rPr>
          <w:t>1.4</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Nombre</w:t>
        </w:r>
        <w:r w:rsidR="000E53DB">
          <w:rPr>
            <w:noProof/>
            <w:webHidden/>
          </w:rPr>
          <w:tab/>
        </w:r>
        <w:r>
          <w:rPr>
            <w:noProof/>
            <w:webHidden/>
          </w:rPr>
          <w:fldChar w:fldCharType="begin"/>
        </w:r>
        <w:r w:rsidR="000E53DB">
          <w:rPr>
            <w:noProof/>
            <w:webHidden/>
          </w:rPr>
          <w:instrText xml:space="preserve"> PAGEREF _Toc283886435 \h </w:instrText>
        </w:r>
        <w:r>
          <w:rPr>
            <w:noProof/>
            <w:webHidden/>
          </w:rPr>
        </w:r>
        <w:r>
          <w:rPr>
            <w:noProof/>
            <w:webHidden/>
          </w:rPr>
          <w:fldChar w:fldCharType="separate"/>
        </w:r>
        <w:r w:rsidR="001D49F0">
          <w:rPr>
            <w:noProof/>
            <w:webHidden/>
          </w:rPr>
          <w:t>7</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6" w:history="1">
        <w:r w:rsidR="000E53DB" w:rsidRPr="000601C5">
          <w:rPr>
            <w:rStyle w:val="Hipervnculo"/>
            <w:noProof/>
          </w:rPr>
          <w:t>1.5</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Ubicaci</w:t>
        </w:r>
        <w:r w:rsidR="000E53DB" w:rsidRPr="000601C5">
          <w:rPr>
            <w:rStyle w:val="Hipervnculo"/>
            <w:rFonts w:hint="eastAsia"/>
            <w:noProof/>
          </w:rPr>
          <w:t>ó</w:t>
        </w:r>
        <w:r w:rsidR="000E53DB" w:rsidRPr="000601C5">
          <w:rPr>
            <w:rStyle w:val="Hipervnculo"/>
            <w:noProof/>
          </w:rPr>
          <w:t>n y delimitaci</w:t>
        </w:r>
        <w:r w:rsidR="000E53DB" w:rsidRPr="000601C5">
          <w:rPr>
            <w:rStyle w:val="Hipervnculo"/>
            <w:rFonts w:hint="eastAsia"/>
            <w:noProof/>
          </w:rPr>
          <w:t>ó</w:t>
        </w:r>
        <w:r w:rsidR="000E53DB" w:rsidRPr="000601C5">
          <w:rPr>
            <w:rStyle w:val="Hipervnculo"/>
            <w:noProof/>
          </w:rPr>
          <w:t>n geogr</w:t>
        </w:r>
        <w:r w:rsidR="000E53DB" w:rsidRPr="000601C5">
          <w:rPr>
            <w:rStyle w:val="Hipervnculo"/>
            <w:rFonts w:hint="eastAsia"/>
            <w:noProof/>
          </w:rPr>
          <w:t>á</w:t>
        </w:r>
        <w:r w:rsidR="000E53DB" w:rsidRPr="000601C5">
          <w:rPr>
            <w:rStyle w:val="Hipervnculo"/>
            <w:noProof/>
          </w:rPr>
          <w:t>fica</w:t>
        </w:r>
        <w:r w:rsidR="000E53DB">
          <w:rPr>
            <w:noProof/>
            <w:webHidden/>
          </w:rPr>
          <w:tab/>
        </w:r>
        <w:r>
          <w:rPr>
            <w:noProof/>
            <w:webHidden/>
          </w:rPr>
          <w:fldChar w:fldCharType="begin"/>
        </w:r>
        <w:r w:rsidR="000E53DB">
          <w:rPr>
            <w:noProof/>
            <w:webHidden/>
          </w:rPr>
          <w:instrText xml:space="preserve"> PAGEREF _Toc283886436 \h </w:instrText>
        </w:r>
        <w:r>
          <w:rPr>
            <w:noProof/>
            <w:webHidden/>
          </w:rPr>
        </w:r>
        <w:r>
          <w:rPr>
            <w:noProof/>
            <w:webHidden/>
          </w:rPr>
          <w:fldChar w:fldCharType="separate"/>
        </w:r>
        <w:r w:rsidR="001D49F0">
          <w:rPr>
            <w:noProof/>
            <w:webHidden/>
          </w:rPr>
          <w:t>8</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7" w:history="1">
        <w:r w:rsidR="000E53DB" w:rsidRPr="000601C5">
          <w:rPr>
            <w:rStyle w:val="Hipervnculo"/>
            <w:noProof/>
          </w:rPr>
          <w:t>1.6</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Participantes en la elaboraci</w:t>
        </w:r>
        <w:r w:rsidR="000E53DB" w:rsidRPr="000601C5">
          <w:rPr>
            <w:rStyle w:val="Hipervnculo"/>
            <w:rFonts w:hint="eastAsia"/>
            <w:noProof/>
          </w:rPr>
          <w:t>ó</w:t>
        </w:r>
        <w:r w:rsidR="000E53DB" w:rsidRPr="000601C5">
          <w:rPr>
            <w:rStyle w:val="Hipervnculo"/>
            <w:noProof/>
          </w:rPr>
          <w:t>n del Plan</w:t>
        </w:r>
        <w:r w:rsidR="000E53DB">
          <w:rPr>
            <w:noProof/>
            <w:webHidden/>
          </w:rPr>
          <w:tab/>
        </w:r>
        <w:r>
          <w:rPr>
            <w:noProof/>
            <w:webHidden/>
          </w:rPr>
          <w:fldChar w:fldCharType="begin"/>
        </w:r>
        <w:r w:rsidR="000E53DB">
          <w:rPr>
            <w:noProof/>
            <w:webHidden/>
          </w:rPr>
          <w:instrText xml:space="preserve"> PAGEREF _Toc283886437 \h </w:instrText>
        </w:r>
        <w:r>
          <w:rPr>
            <w:noProof/>
            <w:webHidden/>
          </w:rPr>
        </w:r>
        <w:r>
          <w:rPr>
            <w:noProof/>
            <w:webHidden/>
          </w:rPr>
          <w:fldChar w:fldCharType="separate"/>
        </w:r>
        <w:r w:rsidR="001D49F0">
          <w:rPr>
            <w:noProof/>
            <w:webHidden/>
          </w:rPr>
          <w:t>11</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38" w:history="1">
        <w:r w:rsidR="000E53DB" w:rsidRPr="000601C5">
          <w:rPr>
            <w:rStyle w:val="Hipervnculo"/>
            <w:noProof/>
          </w:rPr>
          <w:t>2</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Objetivos</w:t>
        </w:r>
        <w:r w:rsidR="000E53DB">
          <w:rPr>
            <w:noProof/>
            <w:webHidden/>
          </w:rPr>
          <w:tab/>
        </w:r>
        <w:r>
          <w:rPr>
            <w:noProof/>
            <w:webHidden/>
          </w:rPr>
          <w:fldChar w:fldCharType="begin"/>
        </w:r>
        <w:r w:rsidR="000E53DB">
          <w:rPr>
            <w:noProof/>
            <w:webHidden/>
          </w:rPr>
          <w:instrText xml:space="preserve"> PAGEREF _Toc283886438 \h </w:instrText>
        </w:r>
        <w:r>
          <w:rPr>
            <w:noProof/>
            <w:webHidden/>
          </w:rPr>
        </w:r>
        <w:r>
          <w:rPr>
            <w:noProof/>
            <w:webHidden/>
          </w:rPr>
          <w:fldChar w:fldCharType="separate"/>
        </w:r>
        <w:r w:rsidR="001D49F0">
          <w:rPr>
            <w:noProof/>
            <w:webHidden/>
          </w:rPr>
          <w:t>12</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39" w:history="1">
        <w:r w:rsidR="000E53DB" w:rsidRPr="000601C5">
          <w:rPr>
            <w:rStyle w:val="Hipervnculo"/>
            <w:noProof/>
          </w:rPr>
          <w:t>2.1</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Objetivo superior</w:t>
        </w:r>
        <w:r w:rsidR="000E53DB">
          <w:rPr>
            <w:noProof/>
            <w:webHidden/>
          </w:rPr>
          <w:tab/>
        </w:r>
        <w:r>
          <w:rPr>
            <w:noProof/>
            <w:webHidden/>
          </w:rPr>
          <w:fldChar w:fldCharType="begin"/>
        </w:r>
        <w:r w:rsidR="000E53DB">
          <w:rPr>
            <w:noProof/>
            <w:webHidden/>
          </w:rPr>
          <w:instrText xml:space="preserve"> PAGEREF _Toc283886439 \h </w:instrText>
        </w:r>
        <w:r>
          <w:rPr>
            <w:noProof/>
            <w:webHidden/>
          </w:rPr>
        </w:r>
        <w:r>
          <w:rPr>
            <w:noProof/>
            <w:webHidden/>
          </w:rPr>
          <w:fldChar w:fldCharType="separate"/>
        </w:r>
        <w:r w:rsidR="001D49F0">
          <w:rPr>
            <w:noProof/>
            <w:webHidden/>
          </w:rPr>
          <w:t>12</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40" w:history="1">
        <w:r w:rsidR="000E53DB" w:rsidRPr="000601C5">
          <w:rPr>
            <w:rStyle w:val="Hipervnculo"/>
            <w:noProof/>
          </w:rPr>
          <w:t>2.2</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Objetivos del Plan</w:t>
        </w:r>
        <w:r w:rsidR="000E53DB">
          <w:rPr>
            <w:noProof/>
            <w:webHidden/>
          </w:rPr>
          <w:tab/>
        </w:r>
        <w:r>
          <w:rPr>
            <w:noProof/>
            <w:webHidden/>
          </w:rPr>
          <w:fldChar w:fldCharType="begin"/>
        </w:r>
        <w:r w:rsidR="000E53DB">
          <w:rPr>
            <w:noProof/>
            <w:webHidden/>
          </w:rPr>
          <w:instrText xml:space="preserve"> PAGEREF _Toc283886440 \h </w:instrText>
        </w:r>
        <w:r>
          <w:rPr>
            <w:noProof/>
            <w:webHidden/>
          </w:rPr>
        </w:r>
        <w:r>
          <w:rPr>
            <w:noProof/>
            <w:webHidden/>
          </w:rPr>
          <w:fldChar w:fldCharType="separate"/>
        </w:r>
        <w:r w:rsidR="001D49F0">
          <w:rPr>
            <w:noProof/>
            <w:webHidden/>
          </w:rPr>
          <w:t>12</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41" w:history="1">
        <w:r w:rsidR="000E53DB" w:rsidRPr="000601C5">
          <w:rPr>
            <w:rStyle w:val="Hipervnculo"/>
            <w:noProof/>
          </w:rPr>
          <w:t>2.2.1</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Objetivo general</w:t>
        </w:r>
        <w:r w:rsidR="000E53DB">
          <w:rPr>
            <w:noProof/>
            <w:webHidden/>
          </w:rPr>
          <w:tab/>
        </w:r>
        <w:r>
          <w:rPr>
            <w:noProof/>
            <w:webHidden/>
          </w:rPr>
          <w:fldChar w:fldCharType="begin"/>
        </w:r>
        <w:r w:rsidR="000E53DB">
          <w:rPr>
            <w:noProof/>
            <w:webHidden/>
          </w:rPr>
          <w:instrText xml:space="preserve"> PAGEREF _Toc283886441 \h </w:instrText>
        </w:r>
        <w:r>
          <w:rPr>
            <w:noProof/>
            <w:webHidden/>
          </w:rPr>
        </w:r>
        <w:r>
          <w:rPr>
            <w:noProof/>
            <w:webHidden/>
          </w:rPr>
          <w:fldChar w:fldCharType="separate"/>
        </w:r>
        <w:r w:rsidR="001D49F0">
          <w:rPr>
            <w:noProof/>
            <w:webHidden/>
          </w:rPr>
          <w:t>12</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42" w:history="1">
        <w:r w:rsidR="000E53DB" w:rsidRPr="000601C5">
          <w:rPr>
            <w:rStyle w:val="Hipervnculo"/>
            <w:noProof/>
          </w:rPr>
          <w:t>2.2.2</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Objetivos estrat</w:t>
        </w:r>
        <w:r w:rsidR="000E53DB" w:rsidRPr="000601C5">
          <w:rPr>
            <w:rStyle w:val="Hipervnculo"/>
            <w:rFonts w:hint="eastAsia"/>
            <w:noProof/>
          </w:rPr>
          <w:t>é</w:t>
        </w:r>
        <w:r w:rsidR="000E53DB" w:rsidRPr="000601C5">
          <w:rPr>
            <w:rStyle w:val="Hipervnculo"/>
            <w:noProof/>
          </w:rPr>
          <w:t>gicos</w:t>
        </w:r>
        <w:r w:rsidR="000E53DB">
          <w:rPr>
            <w:noProof/>
            <w:webHidden/>
          </w:rPr>
          <w:tab/>
        </w:r>
        <w:r>
          <w:rPr>
            <w:noProof/>
            <w:webHidden/>
          </w:rPr>
          <w:fldChar w:fldCharType="begin"/>
        </w:r>
        <w:r w:rsidR="000E53DB">
          <w:rPr>
            <w:noProof/>
            <w:webHidden/>
          </w:rPr>
          <w:instrText xml:space="preserve"> PAGEREF _Toc283886442 \h </w:instrText>
        </w:r>
        <w:r>
          <w:rPr>
            <w:noProof/>
            <w:webHidden/>
          </w:rPr>
        </w:r>
        <w:r>
          <w:rPr>
            <w:noProof/>
            <w:webHidden/>
          </w:rPr>
          <w:fldChar w:fldCharType="separate"/>
        </w:r>
        <w:r w:rsidR="001D49F0">
          <w:rPr>
            <w:noProof/>
            <w:webHidden/>
          </w:rPr>
          <w:t>12</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43" w:history="1">
        <w:r w:rsidR="000E53DB" w:rsidRPr="000601C5">
          <w:rPr>
            <w:rStyle w:val="Hipervnculo"/>
            <w:noProof/>
          </w:rPr>
          <w:t>3</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Marco Jur</w:t>
        </w:r>
        <w:r w:rsidR="000E53DB" w:rsidRPr="000601C5">
          <w:rPr>
            <w:rStyle w:val="Hipervnculo"/>
            <w:rFonts w:hint="eastAsia"/>
            <w:noProof/>
          </w:rPr>
          <w:t>í</w:t>
        </w:r>
        <w:r w:rsidR="000E53DB" w:rsidRPr="000601C5">
          <w:rPr>
            <w:rStyle w:val="Hipervnculo"/>
            <w:noProof/>
          </w:rPr>
          <w:t>dico</w:t>
        </w:r>
        <w:r w:rsidR="000E53DB">
          <w:rPr>
            <w:noProof/>
            <w:webHidden/>
          </w:rPr>
          <w:tab/>
        </w:r>
        <w:r>
          <w:rPr>
            <w:noProof/>
            <w:webHidden/>
          </w:rPr>
          <w:fldChar w:fldCharType="begin"/>
        </w:r>
        <w:r w:rsidR="000E53DB">
          <w:rPr>
            <w:noProof/>
            <w:webHidden/>
          </w:rPr>
          <w:instrText xml:space="preserve"> PAGEREF _Toc283886443 \h </w:instrText>
        </w:r>
        <w:r>
          <w:rPr>
            <w:noProof/>
            <w:webHidden/>
          </w:rPr>
        </w:r>
        <w:r>
          <w:rPr>
            <w:noProof/>
            <w:webHidden/>
          </w:rPr>
          <w:fldChar w:fldCharType="separate"/>
        </w:r>
        <w:r w:rsidR="001D49F0">
          <w:rPr>
            <w:noProof/>
            <w:webHidden/>
          </w:rPr>
          <w:t>13</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44" w:history="1">
        <w:r w:rsidR="000E53DB" w:rsidRPr="000601C5">
          <w:rPr>
            <w:rStyle w:val="Hipervnculo"/>
            <w:noProof/>
          </w:rPr>
          <w:t>4</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Principios para el manejo integrado del agua</w:t>
        </w:r>
        <w:r w:rsidR="000E53DB">
          <w:rPr>
            <w:noProof/>
            <w:webHidden/>
          </w:rPr>
          <w:tab/>
        </w:r>
        <w:r>
          <w:rPr>
            <w:noProof/>
            <w:webHidden/>
          </w:rPr>
          <w:fldChar w:fldCharType="begin"/>
        </w:r>
        <w:r w:rsidR="000E53DB">
          <w:rPr>
            <w:noProof/>
            <w:webHidden/>
          </w:rPr>
          <w:instrText xml:space="preserve"> PAGEREF _Toc283886444 \h </w:instrText>
        </w:r>
        <w:r>
          <w:rPr>
            <w:noProof/>
            <w:webHidden/>
          </w:rPr>
        </w:r>
        <w:r>
          <w:rPr>
            <w:noProof/>
            <w:webHidden/>
          </w:rPr>
          <w:fldChar w:fldCharType="separate"/>
        </w:r>
        <w:r w:rsidR="001D49F0">
          <w:rPr>
            <w:noProof/>
            <w:webHidden/>
          </w:rPr>
          <w:t>16</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45" w:history="1">
        <w:r w:rsidR="000E53DB" w:rsidRPr="000601C5">
          <w:rPr>
            <w:rStyle w:val="Hipervnculo"/>
            <w:noProof/>
          </w:rPr>
          <w:t>5</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Diagn</w:t>
        </w:r>
        <w:r w:rsidR="000E53DB" w:rsidRPr="000601C5">
          <w:rPr>
            <w:rStyle w:val="Hipervnculo"/>
            <w:rFonts w:hint="eastAsia"/>
            <w:noProof/>
          </w:rPr>
          <w:t>ó</w:t>
        </w:r>
        <w:r w:rsidR="000E53DB" w:rsidRPr="000601C5">
          <w:rPr>
            <w:rStyle w:val="Hipervnculo"/>
            <w:noProof/>
          </w:rPr>
          <w:t>stico</w:t>
        </w:r>
        <w:r w:rsidR="000E53DB">
          <w:rPr>
            <w:noProof/>
            <w:webHidden/>
          </w:rPr>
          <w:tab/>
        </w:r>
        <w:r>
          <w:rPr>
            <w:noProof/>
            <w:webHidden/>
          </w:rPr>
          <w:fldChar w:fldCharType="begin"/>
        </w:r>
        <w:r w:rsidR="000E53DB">
          <w:rPr>
            <w:noProof/>
            <w:webHidden/>
          </w:rPr>
          <w:instrText xml:space="preserve"> PAGEREF _Toc283886445 \h </w:instrText>
        </w:r>
        <w:r>
          <w:rPr>
            <w:noProof/>
            <w:webHidden/>
          </w:rPr>
        </w:r>
        <w:r>
          <w:rPr>
            <w:noProof/>
            <w:webHidden/>
          </w:rPr>
          <w:fldChar w:fldCharType="separate"/>
        </w:r>
        <w:r w:rsidR="001D49F0">
          <w:rPr>
            <w:noProof/>
            <w:webHidden/>
          </w:rPr>
          <w:t>18</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46" w:history="1">
        <w:r w:rsidR="000E53DB" w:rsidRPr="000601C5">
          <w:rPr>
            <w:rStyle w:val="Hipervnculo"/>
            <w:noProof/>
          </w:rPr>
          <w:t>5.1</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Poblaci</w:t>
        </w:r>
        <w:r w:rsidR="000E53DB" w:rsidRPr="000601C5">
          <w:rPr>
            <w:rStyle w:val="Hipervnculo"/>
            <w:rFonts w:hint="eastAsia"/>
            <w:noProof/>
          </w:rPr>
          <w:t>ó</w:t>
        </w:r>
        <w:r w:rsidR="000E53DB" w:rsidRPr="000601C5">
          <w:rPr>
            <w:rStyle w:val="Hipervnculo"/>
            <w:noProof/>
          </w:rPr>
          <w:t>n y desarrollo socioecon</w:t>
        </w:r>
        <w:r w:rsidR="000E53DB" w:rsidRPr="000601C5">
          <w:rPr>
            <w:rStyle w:val="Hipervnculo"/>
            <w:rFonts w:hint="eastAsia"/>
            <w:noProof/>
          </w:rPr>
          <w:t>ó</w:t>
        </w:r>
        <w:r w:rsidR="000E53DB" w:rsidRPr="000601C5">
          <w:rPr>
            <w:rStyle w:val="Hipervnculo"/>
            <w:noProof/>
          </w:rPr>
          <w:t>mico</w:t>
        </w:r>
        <w:r w:rsidR="000E53DB">
          <w:rPr>
            <w:noProof/>
            <w:webHidden/>
          </w:rPr>
          <w:tab/>
        </w:r>
        <w:r>
          <w:rPr>
            <w:noProof/>
            <w:webHidden/>
          </w:rPr>
          <w:fldChar w:fldCharType="begin"/>
        </w:r>
        <w:r w:rsidR="000E53DB">
          <w:rPr>
            <w:noProof/>
            <w:webHidden/>
          </w:rPr>
          <w:instrText xml:space="preserve"> PAGEREF _Toc283886446 \h </w:instrText>
        </w:r>
        <w:r>
          <w:rPr>
            <w:noProof/>
            <w:webHidden/>
          </w:rPr>
        </w:r>
        <w:r>
          <w:rPr>
            <w:noProof/>
            <w:webHidden/>
          </w:rPr>
          <w:fldChar w:fldCharType="separate"/>
        </w:r>
        <w:r w:rsidR="001D49F0">
          <w:rPr>
            <w:noProof/>
            <w:webHidden/>
          </w:rPr>
          <w:t>18</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47" w:history="1">
        <w:r w:rsidR="000E53DB" w:rsidRPr="000601C5">
          <w:rPr>
            <w:rStyle w:val="Hipervnculo"/>
            <w:noProof/>
          </w:rPr>
          <w:t>5.2</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Evaluaci</w:t>
        </w:r>
        <w:r w:rsidR="000E53DB" w:rsidRPr="000601C5">
          <w:rPr>
            <w:rStyle w:val="Hipervnculo"/>
            <w:rFonts w:hint="eastAsia"/>
            <w:noProof/>
          </w:rPr>
          <w:t>ó</w:t>
        </w:r>
        <w:r w:rsidR="000E53DB" w:rsidRPr="000601C5">
          <w:rPr>
            <w:rStyle w:val="Hipervnculo"/>
            <w:noProof/>
          </w:rPr>
          <w:t>n de programas relativos al manejo del agua</w:t>
        </w:r>
        <w:r w:rsidR="000E53DB">
          <w:rPr>
            <w:noProof/>
            <w:webHidden/>
          </w:rPr>
          <w:tab/>
        </w:r>
        <w:r>
          <w:rPr>
            <w:noProof/>
            <w:webHidden/>
          </w:rPr>
          <w:fldChar w:fldCharType="begin"/>
        </w:r>
        <w:r w:rsidR="000E53DB">
          <w:rPr>
            <w:noProof/>
            <w:webHidden/>
          </w:rPr>
          <w:instrText xml:space="preserve"> PAGEREF _Toc283886447 \h </w:instrText>
        </w:r>
        <w:r>
          <w:rPr>
            <w:noProof/>
            <w:webHidden/>
          </w:rPr>
        </w:r>
        <w:r>
          <w:rPr>
            <w:noProof/>
            <w:webHidden/>
          </w:rPr>
          <w:fldChar w:fldCharType="separate"/>
        </w:r>
        <w:r w:rsidR="001D49F0">
          <w:rPr>
            <w:noProof/>
            <w:webHidden/>
          </w:rPr>
          <w:t>27</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48" w:history="1">
        <w:r w:rsidR="000E53DB" w:rsidRPr="000601C5">
          <w:rPr>
            <w:rStyle w:val="Hipervnculo"/>
            <w:noProof/>
          </w:rPr>
          <w:t>5.3</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Climatolog</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_Toc283886448 \h </w:instrText>
        </w:r>
        <w:r>
          <w:rPr>
            <w:noProof/>
            <w:webHidden/>
          </w:rPr>
        </w:r>
        <w:r>
          <w:rPr>
            <w:noProof/>
            <w:webHidden/>
          </w:rPr>
          <w:fldChar w:fldCharType="separate"/>
        </w:r>
        <w:r w:rsidR="001D49F0">
          <w:rPr>
            <w:noProof/>
            <w:webHidden/>
          </w:rPr>
          <w:t>33</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49" w:history="1">
        <w:r w:rsidR="000E53DB" w:rsidRPr="000601C5">
          <w:rPr>
            <w:rStyle w:val="Hipervnculo"/>
            <w:noProof/>
          </w:rPr>
          <w:t>5.4</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Disponibilidad de los recursos hidr</w:t>
        </w:r>
        <w:r w:rsidR="000E53DB" w:rsidRPr="000601C5">
          <w:rPr>
            <w:rStyle w:val="Hipervnculo"/>
            <w:rFonts w:hint="eastAsia"/>
            <w:noProof/>
          </w:rPr>
          <w:t>á</w:t>
        </w:r>
        <w:r w:rsidR="000E53DB" w:rsidRPr="000601C5">
          <w:rPr>
            <w:rStyle w:val="Hipervnculo"/>
            <w:noProof/>
          </w:rPr>
          <w:t>ulicos y su distribuci</w:t>
        </w:r>
        <w:r w:rsidR="000E53DB" w:rsidRPr="000601C5">
          <w:rPr>
            <w:rStyle w:val="Hipervnculo"/>
            <w:rFonts w:hint="eastAsia"/>
            <w:noProof/>
          </w:rPr>
          <w:t>ó</w:t>
        </w:r>
        <w:r w:rsidR="000E53DB" w:rsidRPr="000601C5">
          <w:rPr>
            <w:rStyle w:val="Hipervnculo"/>
            <w:noProof/>
          </w:rPr>
          <w:t>n territorial</w:t>
        </w:r>
        <w:r w:rsidR="000E53DB">
          <w:rPr>
            <w:noProof/>
            <w:webHidden/>
          </w:rPr>
          <w:tab/>
        </w:r>
        <w:r>
          <w:rPr>
            <w:noProof/>
            <w:webHidden/>
          </w:rPr>
          <w:fldChar w:fldCharType="begin"/>
        </w:r>
        <w:r w:rsidR="000E53DB">
          <w:rPr>
            <w:noProof/>
            <w:webHidden/>
          </w:rPr>
          <w:instrText xml:space="preserve"> PAGEREF _Toc283886449 \h </w:instrText>
        </w:r>
        <w:r>
          <w:rPr>
            <w:noProof/>
            <w:webHidden/>
          </w:rPr>
        </w:r>
        <w:r>
          <w:rPr>
            <w:noProof/>
            <w:webHidden/>
          </w:rPr>
          <w:fldChar w:fldCharType="separate"/>
        </w:r>
        <w:r w:rsidR="001D49F0">
          <w:rPr>
            <w:noProof/>
            <w:webHidden/>
          </w:rPr>
          <w:t>40</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50" w:history="1">
        <w:r w:rsidR="000E53DB" w:rsidRPr="000601C5">
          <w:rPr>
            <w:rStyle w:val="Hipervnculo"/>
            <w:noProof/>
          </w:rPr>
          <w:t>5.5</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Aguas subterr</w:t>
        </w:r>
        <w:r w:rsidR="000E53DB" w:rsidRPr="000601C5">
          <w:rPr>
            <w:rStyle w:val="Hipervnculo"/>
            <w:rFonts w:hint="eastAsia"/>
            <w:noProof/>
          </w:rPr>
          <w:t>á</w:t>
        </w:r>
        <w:r w:rsidR="000E53DB" w:rsidRPr="000601C5">
          <w:rPr>
            <w:rStyle w:val="Hipervnculo"/>
            <w:noProof/>
          </w:rPr>
          <w:t>neas</w:t>
        </w:r>
        <w:r w:rsidR="000E53DB">
          <w:rPr>
            <w:noProof/>
            <w:webHidden/>
          </w:rPr>
          <w:tab/>
        </w:r>
        <w:r>
          <w:rPr>
            <w:noProof/>
            <w:webHidden/>
          </w:rPr>
          <w:fldChar w:fldCharType="begin"/>
        </w:r>
        <w:r w:rsidR="000E53DB">
          <w:rPr>
            <w:noProof/>
            <w:webHidden/>
          </w:rPr>
          <w:instrText xml:space="preserve"> PAGEREF _Toc283886450 \h </w:instrText>
        </w:r>
        <w:r>
          <w:rPr>
            <w:noProof/>
            <w:webHidden/>
          </w:rPr>
        </w:r>
        <w:r>
          <w:rPr>
            <w:noProof/>
            <w:webHidden/>
          </w:rPr>
          <w:fldChar w:fldCharType="separate"/>
        </w:r>
        <w:r w:rsidR="001D49F0">
          <w:rPr>
            <w:noProof/>
            <w:webHidden/>
          </w:rPr>
          <w:t>43</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51" w:history="1">
        <w:r w:rsidR="000E53DB" w:rsidRPr="000601C5">
          <w:rPr>
            <w:rStyle w:val="Hipervnculo"/>
            <w:noProof/>
          </w:rPr>
          <w:t>5.5.1</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Geolog</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_Toc283886451 \h </w:instrText>
        </w:r>
        <w:r>
          <w:rPr>
            <w:noProof/>
            <w:webHidden/>
          </w:rPr>
        </w:r>
        <w:r>
          <w:rPr>
            <w:noProof/>
            <w:webHidden/>
          </w:rPr>
          <w:fldChar w:fldCharType="separate"/>
        </w:r>
        <w:r w:rsidR="001D49F0">
          <w:rPr>
            <w:noProof/>
            <w:webHidden/>
          </w:rPr>
          <w:t>43</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52" w:history="1">
        <w:r w:rsidR="000E53DB" w:rsidRPr="000601C5">
          <w:rPr>
            <w:rStyle w:val="Hipervnculo"/>
            <w:noProof/>
          </w:rPr>
          <w:t>5.5.1.1</w:t>
        </w:r>
        <w:r w:rsidR="000E53DB">
          <w:rPr>
            <w:rFonts w:asciiTheme="minorHAnsi" w:eastAsiaTheme="minorEastAsia" w:hAnsiTheme="minorHAnsi" w:cstheme="minorBidi"/>
            <w:noProof/>
            <w:sz w:val="22"/>
            <w:szCs w:val="22"/>
            <w:lang w:eastAsia="es-MX"/>
          </w:rPr>
          <w:tab/>
        </w:r>
        <w:r w:rsidR="000E53DB" w:rsidRPr="000601C5">
          <w:rPr>
            <w:rStyle w:val="Hipervnculo"/>
            <w:noProof/>
          </w:rPr>
          <w:t>Fisiograf</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_Toc283886452 \h </w:instrText>
        </w:r>
        <w:r>
          <w:rPr>
            <w:noProof/>
            <w:webHidden/>
          </w:rPr>
        </w:r>
        <w:r>
          <w:rPr>
            <w:noProof/>
            <w:webHidden/>
          </w:rPr>
          <w:fldChar w:fldCharType="separate"/>
        </w:r>
        <w:r w:rsidR="001D49F0">
          <w:rPr>
            <w:noProof/>
            <w:webHidden/>
          </w:rPr>
          <w:t>43</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53" w:history="1">
        <w:r w:rsidR="000E53DB" w:rsidRPr="000601C5">
          <w:rPr>
            <w:rStyle w:val="Hipervnculo"/>
            <w:noProof/>
          </w:rPr>
          <w:t>5.5.1.2</w:t>
        </w:r>
        <w:r w:rsidR="000E53DB">
          <w:rPr>
            <w:rFonts w:asciiTheme="minorHAnsi" w:eastAsiaTheme="minorEastAsia" w:hAnsiTheme="minorHAnsi" w:cstheme="minorBidi"/>
            <w:noProof/>
            <w:sz w:val="22"/>
            <w:szCs w:val="22"/>
            <w:lang w:eastAsia="es-MX"/>
          </w:rPr>
          <w:tab/>
        </w:r>
        <w:r w:rsidR="000E53DB" w:rsidRPr="000601C5">
          <w:rPr>
            <w:rStyle w:val="Hipervnculo"/>
            <w:noProof/>
          </w:rPr>
          <w:t>Geomorfolog</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_Toc283886453 \h </w:instrText>
        </w:r>
        <w:r>
          <w:rPr>
            <w:noProof/>
            <w:webHidden/>
          </w:rPr>
        </w:r>
        <w:r>
          <w:rPr>
            <w:noProof/>
            <w:webHidden/>
          </w:rPr>
          <w:fldChar w:fldCharType="separate"/>
        </w:r>
        <w:r w:rsidR="001D49F0">
          <w:rPr>
            <w:noProof/>
            <w:webHidden/>
          </w:rPr>
          <w:t>43</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54" w:history="1">
        <w:r w:rsidR="000E53DB" w:rsidRPr="000601C5">
          <w:rPr>
            <w:rStyle w:val="Hipervnculo"/>
            <w:noProof/>
          </w:rPr>
          <w:t>5.5.1.3</w:t>
        </w:r>
        <w:r w:rsidR="000E53DB">
          <w:rPr>
            <w:rFonts w:asciiTheme="minorHAnsi" w:eastAsiaTheme="minorEastAsia" w:hAnsiTheme="minorHAnsi" w:cstheme="minorBidi"/>
            <w:noProof/>
            <w:sz w:val="22"/>
            <w:szCs w:val="22"/>
            <w:lang w:eastAsia="es-MX"/>
          </w:rPr>
          <w:tab/>
        </w:r>
        <w:r w:rsidR="000E53DB" w:rsidRPr="000601C5">
          <w:rPr>
            <w:rStyle w:val="Hipervnculo"/>
            <w:noProof/>
          </w:rPr>
          <w:t>Geolog</w:t>
        </w:r>
        <w:r w:rsidR="000E53DB" w:rsidRPr="000601C5">
          <w:rPr>
            <w:rStyle w:val="Hipervnculo"/>
            <w:rFonts w:hint="eastAsia"/>
            <w:noProof/>
          </w:rPr>
          <w:t>í</w:t>
        </w:r>
        <w:r w:rsidR="000E53DB" w:rsidRPr="000601C5">
          <w:rPr>
            <w:rStyle w:val="Hipervnculo"/>
            <w:noProof/>
          </w:rPr>
          <w:t>a regional</w:t>
        </w:r>
        <w:r w:rsidR="000E53DB">
          <w:rPr>
            <w:noProof/>
            <w:webHidden/>
          </w:rPr>
          <w:tab/>
        </w:r>
        <w:r>
          <w:rPr>
            <w:noProof/>
            <w:webHidden/>
          </w:rPr>
          <w:fldChar w:fldCharType="begin"/>
        </w:r>
        <w:r w:rsidR="000E53DB">
          <w:rPr>
            <w:noProof/>
            <w:webHidden/>
          </w:rPr>
          <w:instrText xml:space="preserve"> PAGEREF _Toc283886454 \h </w:instrText>
        </w:r>
        <w:r>
          <w:rPr>
            <w:noProof/>
            <w:webHidden/>
          </w:rPr>
        </w:r>
        <w:r>
          <w:rPr>
            <w:noProof/>
            <w:webHidden/>
          </w:rPr>
          <w:fldChar w:fldCharType="separate"/>
        </w:r>
        <w:r w:rsidR="001D49F0">
          <w:rPr>
            <w:noProof/>
            <w:webHidden/>
          </w:rPr>
          <w:t>44</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55" w:history="1">
        <w:r w:rsidR="000E53DB" w:rsidRPr="000601C5">
          <w:rPr>
            <w:rStyle w:val="Hipervnculo"/>
            <w:noProof/>
          </w:rPr>
          <w:t>5.5.1.4</w:t>
        </w:r>
        <w:r w:rsidR="000E53DB">
          <w:rPr>
            <w:rFonts w:asciiTheme="minorHAnsi" w:eastAsiaTheme="minorEastAsia" w:hAnsiTheme="minorHAnsi" w:cstheme="minorBidi"/>
            <w:noProof/>
            <w:sz w:val="22"/>
            <w:szCs w:val="22"/>
            <w:lang w:eastAsia="es-MX"/>
          </w:rPr>
          <w:tab/>
        </w:r>
        <w:r w:rsidR="000E53DB" w:rsidRPr="000601C5">
          <w:rPr>
            <w:rStyle w:val="Hipervnculo"/>
            <w:noProof/>
          </w:rPr>
          <w:t>Estratigraf</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_Toc283886455 \h </w:instrText>
        </w:r>
        <w:r>
          <w:rPr>
            <w:noProof/>
            <w:webHidden/>
          </w:rPr>
        </w:r>
        <w:r>
          <w:rPr>
            <w:noProof/>
            <w:webHidden/>
          </w:rPr>
          <w:fldChar w:fldCharType="separate"/>
        </w:r>
        <w:r w:rsidR="001D49F0">
          <w:rPr>
            <w:noProof/>
            <w:webHidden/>
          </w:rPr>
          <w:t>45</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56" w:history="1">
        <w:r w:rsidR="000E53DB" w:rsidRPr="000601C5">
          <w:rPr>
            <w:rStyle w:val="Hipervnculo"/>
            <w:noProof/>
          </w:rPr>
          <w:t>5.5.1.5</w:t>
        </w:r>
        <w:r w:rsidR="000E53DB">
          <w:rPr>
            <w:rFonts w:asciiTheme="minorHAnsi" w:eastAsiaTheme="minorEastAsia" w:hAnsiTheme="minorHAnsi" w:cstheme="minorBidi"/>
            <w:noProof/>
            <w:sz w:val="22"/>
            <w:szCs w:val="22"/>
            <w:lang w:eastAsia="es-MX"/>
          </w:rPr>
          <w:tab/>
        </w:r>
        <w:r w:rsidR="000E53DB" w:rsidRPr="000601C5">
          <w:rPr>
            <w:rStyle w:val="Hipervnculo"/>
            <w:noProof/>
          </w:rPr>
          <w:t>Geol</w:t>
        </w:r>
        <w:r w:rsidR="000E53DB" w:rsidRPr="000601C5">
          <w:rPr>
            <w:rStyle w:val="Hipervnculo"/>
            <w:rFonts w:hint="eastAsia"/>
            <w:noProof/>
          </w:rPr>
          <w:t>ó</w:t>
        </w:r>
        <w:r w:rsidR="000E53DB" w:rsidRPr="000601C5">
          <w:rPr>
            <w:rStyle w:val="Hipervnculo"/>
            <w:noProof/>
          </w:rPr>
          <w:t>gica estructural</w:t>
        </w:r>
        <w:r w:rsidR="000E53DB">
          <w:rPr>
            <w:noProof/>
            <w:webHidden/>
          </w:rPr>
          <w:tab/>
        </w:r>
        <w:r>
          <w:rPr>
            <w:noProof/>
            <w:webHidden/>
          </w:rPr>
          <w:fldChar w:fldCharType="begin"/>
        </w:r>
        <w:r w:rsidR="000E53DB">
          <w:rPr>
            <w:noProof/>
            <w:webHidden/>
          </w:rPr>
          <w:instrText xml:space="preserve"> PAGEREF _Toc283886456 \h </w:instrText>
        </w:r>
        <w:r>
          <w:rPr>
            <w:noProof/>
            <w:webHidden/>
          </w:rPr>
        </w:r>
        <w:r>
          <w:rPr>
            <w:noProof/>
            <w:webHidden/>
          </w:rPr>
          <w:fldChar w:fldCharType="separate"/>
        </w:r>
        <w:r w:rsidR="001D49F0">
          <w:rPr>
            <w:noProof/>
            <w:webHidden/>
          </w:rPr>
          <w:t>46</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57" w:history="1">
        <w:r w:rsidR="000E53DB" w:rsidRPr="000601C5">
          <w:rPr>
            <w:rStyle w:val="Hipervnculo"/>
            <w:noProof/>
          </w:rPr>
          <w:t>5.5.2</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Unidades geohidrol</w:t>
        </w:r>
        <w:r w:rsidR="000E53DB" w:rsidRPr="000601C5">
          <w:rPr>
            <w:rStyle w:val="Hipervnculo"/>
            <w:rFonts w:hint="eastAsia"/>
            <w:noProof/>
          </w:rPr>
          <w:t>ó</w:t>
        </w:r>
        <w:r w:rsidR="000E53DB" w:rsidRPr="000601C5">
          <w:rPr>
            <w:rStyle w:val="Hipervnculo"/>
            <w:noProof/>
          </w:rPr>
          <w:t>gicas</w:t>
        </w:r>
        <w:r w:rsidR="000E53DB">
          <w:rPr>
            <w:noProof/>
            <w:webHidden/>
          </w:rPr>
          <w:tab/>
        </w:r>
        <w:r>
          <w:rPr>
            <w:noProof/>
            <w:webHidden/>
          </w:rPr>
          <w:fldChar w:fldCharType="begin"/>
        </w:r>
        <w:r w:rsidR="000E53DB">
          <w:rPr>
            <w:noProof/>
            <w:webHidden/>
          </w:rPr>
          <w:instrText xml:space="preserve"> PAGEREF _Toc283886457 \h </w:instrText>
        </w:r>
        <w:r>
          <w:rPr>
            <w:noProof/>
            <w:webHidden/>
          </w:rPr>
        </w:r>
        <w:r>
          <w:rPr>
            <w:noProof/>
            <w:webHidden/>
          </w:rPr>
          <w:fldChar w:fldCharType="separate"/>
        </w:r>
        <w:r w:rsidR="001D49F0">
          <w:rPr>
            <w:noProof/>
            <w:webHidden/>
          </w:rPr>
          <w:t>46</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58" w:history="1">
        <w:r w:rsidR="000E53DB" w:rsidRPr="000601C5">
          <w:rPr>
            <w:rStyle w:val="Hipervnculo"/>
            <w:noProof/>
          </w:rPr>
          <w:t>5.5.3</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Funcionamiento del sistema acu</w:t>
        </w:r>
        <w:r w:rsidR="000E53DB" w:rsidRPr="000601C5">
          <w:rPr>
            <w:rStyle w:val="Hipervnculo"/>
            <w:rFonts w:hint="eastAsia"/>
            <w:noProof/>
          </w:rPr>
          <w:t>í</w:t>
        </w:r>
        <w:r w:rsidR="000E53DB" w:rsidRPr="000601C5">
          <w:rPr>
            <w:rStyle w:val="Hipervnculo"/>
            <w:noProof/>
          </w:rPr>
          <w:t>fero</w:t>
        </w:r>
        <w:r w:rsidR="000E53DB">
          <w:rPr>
            <w:noProof/>
            <w:webHidden/>
          </w:rPr>
          <w:tab/>
        </w:r>
        <w:r>
          <w:rPr>
            <w:noProof/>
            <w:webHidden/>
          </w:rPr>
          <w:fldChar w:fldCharType="begin"/>
        </w:r>
        <w:r w:rsidR="000E53DB">
          <w:rPr>
            <w:noProof/>
            <w:webHidden/>
          </w:rPr>
          <w:instrText xml:space="preserve"> PAGEREF _Toc283886458 \h </w:instrText>
        </w:r>
        <w:r>
          <w:rPr>
            <w:noProof/>
            <w:webHidden/>
          </w:rPr>
        </w:r>
        <w:r>
          <w:rPr>
            <w:noProof/>
            <w:webHidden/>
          </w:rPr>
          <w:fldChar w:fldCharType="separate"/>
        </w:r>
        <w:r w:rsidR="001D49F0">
          <w:rPr>
            <w:noProof/>
            <w:webHidden/>
          </w:rPr>
          <w:t>48</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59" w:history="1">
        <w:r w:rsidR="000E53DB" w:rsidRPr="000601C5">
          <w:rPr>
            <w:rStyle w:val="Hipervnculo"/>
            <w:noProof/>
          </w:rPr>
          <w:t>5.5.4</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Caracterizaci</w:t>
        </w:r>
        <w:r w:rsidR="000E53DB" w:rsidRPr="000601C5">
          <w:rPr>
            <w:rStyle w:val="Hipervnculo"/>
            <w:rFonts w:hint="eastAsia"/>
            <w:noProof/>
          </w:rPr>
          <w:t>ó</w:t>
        </w:r>
        <w:r w:rsidR="000E53DB" w:rsidRPr="000601C5">
          <w:rPr>
            <w:rStyle w:val="Hipervnculo"/>
            <w:noProof/>
          </w:rPr>
          <w:t>n de los aprovechamientos e hidrometr</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_Toc283886459 \h </w:instrText>
        </w:r>
        <w:r>
          <w:rPr>
            <w:noProof/>
            <w:webHidden/>
          </w:rPr>
        </w:r>
        <w:r>
          <w:rPr>
            <w:noProof/>
            <w:webHidden/>
          </w:rPr>
          <w:fldChar w:fldCharType="separate"/>
        </w:r>
        <w:r w:rsidR="001D49F0">
          <w:rPr>
            <w:noProof/>
            <w:webHidden/>
          </w:rPr>
          <w:t>50</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0" w:history="1">
        <w:r w:rsidR="000E53DB" w:rsidRPr="000601C5">
          <w:rPr>
            <w:rStyle w:val="Hipervnculo"/>
            <w:noProof/>
          </w:rPr>
          <w:t>5.5.5</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Uso del agua subterr</w:t>
        </w:r>
        <w:r w:rsidR="000E53DB" w:rsidRPr="000601C5">
          <w:rPr>
            <w:rStyle w:val="Hipervnculo"/>
            <w:rFonts w:hint="eastAsia"/>
            <w:noProof/>
          </w:rPr>
          <w:t>á</w:t>
        </w:r>
        <w:r w:rsidR="000E53DB" w:rsidRPr="000601C5">
          <w:rPr>
            <w:rStyle w:val="Hipervnculo"/>
            <w:noProof/>
          </w:rPr>
          <w:t>nea</w:t>
        </w:r>
        <w:r w:rsidR="000E53DB">
          <w:rPr>
            <w:noProof/>
            <w:webHidden/>
          </w:rPr>
          <w:tab/>
        </w:r>
        <w:r>
          <w:rPr>
            <w:noProof/>
            <w:webHidden/>
          </w:rPr>
          <w:fldChar w:fldCharType="begin"/>
        </w:r>
        <w:r w:rsidR="000E53DB">
          <w:rPr>
            <w:noProof/>
            <w:webHidden/>
          </w:rPr>
          <w:instrText xml:space="preserve"> PAGEREF _Toc283886460 \h </w:instrText>
        </w:r>
        <w:r>
          <w:rPr>
            <w:noProof/>
            <w:webHidden/>
          </w:rPr>
        </w:r>
        <w:r>
          <w:rPr>
            <w:noProof/>
            <w:webHidden/>
          </w:rPr>
          <w:fldChar w:fldCharType="separate"/>
        </w:r>
        <w:r w:rsidR="001D49F0">
          <w:rPr>
            <w:noProof/>
            <w:webHidden/>
          </w:rPr>
          <w:t>51</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1" w:history="1">
        <w:r w:rsidR="000E53DB" w:rsidRPr="000601C5">
          <w:rPr>
            <w:rStyle w:val="Hipervnculo"/>
            <w:noProof/>
          </w:rPr>
          <w:t>5.5.6</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Comportamiento piezom</w:t>
        </w:r>
        <w:r w:rsidR="000E53DB" w:rsidRPr="000601C5">
          <w:rPr>
            <w:rStyle w:val="Hipervnculo"/>
            <w:rFonts w:hint="eastAsia"/>
            <w:noProof/>
          </w:rPr>
          <w:t>é</w:t>
        </w:r>
        <w:r w:rsidR="000E53DB" w:rsidRPr="000601C5">
          <w:rPr>
            <w:rStyle w:val="Hipervnculo"/>
            <w:noProof/>
          </w:rPr>
          <w:t>trico</w:t>
        </w:r>
        <w:r w:rsidR="000E53DB">
          <w:rPr>
            <w:noProof/>
            <w:webHidden/>
          </w:rPr>
          <w:tab/>
        </w:r>
        <w:r>
          <w:rPr>
            <w:noProof/>
            <w:webHidden/>
          </w:rPr>
          <w:fldChar w:fldCharType="begin"/>
        </w:r>
        <w:r w:rsidR="000E53DB">
          <w:rPr>
            <w:noProof/>
            <w:webHidden/>
          </w:rPr>
          <w:instrText xml:space="preserve"> PAGEREF _Toc283886461 \h </w:instrText>
        </w:r>
        <w:r>
          <w:rPr>
            <w:noProof/>
            <w:webHidden/>
          </w:rPr>
        </w:r>
        <w:r>
          <w:rPr>
            <w:noProof/>
            <w:webHidden/>
          </w:rPr>
          <w:fldChar w:fldCharType="separate"/>
        </w:r>
        <w:r w:rsidR="001D49F0">
          <w:rPr>
            <w:noProof/>
            <w:webHidden/>
          </w:rPr>
          <w:t>54</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2" w:history="1">
        <w:r w:rsidR="000E53DB" w:rsidRPr="000601C5">
          <w:rPr>
            <w:rStyle w:val="Hipervnculo"/>
            <w:noProof/>
          </w:rPr>
          <w:t>5.5.7</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Calidad de agua subterr</w:t>
        </w:r>
        <w:r w:rsidR="000E53DB" w:rsidRPr="000601C5">
          <w:rPr>
            <w:rStyle w:val="Hipervnculo"/>
            <w:rFonts w:hint="eastAsia"/>
            <w:noProof/>
          </w:rPr>
          <w:t>á</w:t>
        </w:r>
        <w:r w:rsidR="000E53DB" w:rsidRPr="000601C5">
          <w:rPr>
            <w:rStyle w:val="Hipervnculo"/>
            <w:noProof/>
          </w:rPr>
          <w:t>nea</w:t>
        </w:r>
        <w:r w:rsidR="000E53DB">
          <w:rPr>
            <w:noProof/>
            <w:webHidden/>
          </w:rPr>
          <w:tab/>
        </w:r>
        <w:r>
          <w:rPr>
            <w:noProof/>
            <w:webHidden/>
          </w:rPr>
          <w:fldChar w:fldCharType="begin"/>
        </w:r>
        <w:r w:rsidR="000E53DB">
          <w:rPr>
            <w:noProof/>
            <w:webHidden/>
          </w:rPr>
          <w:instrText xml:space="preserve"> PAGEREF _Toc283886462 \h </w:instrText>
        </w:r>
        <w:r>
          <w:rPr>
            <w:noProof/>
            <w:webHidden/>
          </w:rPr>
        </w:r>
        <w:r>
          <w:rPr>
            <w:noProof/>
            <w:webHidden/>
          </w:rPr>
          <w:fldChar w:fldCharType="separate"/>
        </w:r>
        <w:r w:rsidR="001D49F0">
          <w:rPr>
            <w:noProof/>
            <w:webHidden/>
          </w:rPr>
          <w:t>63</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3" w:history="1">
        <w:r w:rsidR="000E53DB" w:rsidRPr="000601C5">
          <w:rPr>
            <w:rStyle w:val="Hipervnculo"/>
            <w:noProof/>
          </w:rPr>
          <w:t>5.5.8</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Condiciones de explotaci</w:t>
        </w:r>
        <w:r w:rsidR="000E53DB" w:rsidRPr="000601C5">
          <w:rPr>
            <w:rStyle w:val="Hipervnculo"/>
            <w:rFonts w:hint="eastAsia"/>
            <w:noProof/>
          </w:rPr>
          <w:t>ó</w:t>
        </w:r>
        <w:r w:rsidR="000E53DB" w:rsidRPr="000601C5">
          <w:rPr>
            <w:rStyle w:val="Hipervnculo"/>
            <w:noProof/>
          </w:rPr>
          <w:t>n del agua subterr</w:t>
        </w:r>
        <w:r w:rsidR="000E53DB" w:rsidRPr="000601C5">
          <w:rPr>
            <w:rStyle w:val="Hipervnculo"/>
            <w:rFonts w:hint="eastAsia"/>
            <w:noProof/>
          </w:rPr>
          <w:t>á</w:t>
        </w:r>
        <w:r w:rsidR="000E53DB" w:rsidRPr="000601C5">
          <w:rPr>
            <w:rStyle w:val="Hipervnculo"/>
            <w:noProof/>
          </w:rPr>
          <w:t>nea</w:t>
        </w:r>
        <w:r w:rsidR="000E53DB">
          <w:rPr>
            <w:noProof/>
            <w:webHidden/>
          </w:rPr>
          <w:tab/>
        </w:r>
        <w:r>
          <w:rPr>
            <w:noProof/>
            <w:webHidden/>
          </w:rPr>
          <w:fldChar w:fldCharType="begin"/>
        </w:r>
        <w:r w:rsidR="000E53DB">
          <w:rPr>
            <w:noProof/>
            <w:webHidden/>
          </w:rPr>
          <w:instrText xml:space="preserve"> PAGEREF _Toc283886463 \h </w:instrText>
        </w:r>
        <w:r>
          <w:rPr>
            <w:noProof/>
            <w:webHidden/>
          </w:rPr>
        </w:r>
        <w:r>
          <w:rPr>
            <w:noProof/>
            <w:webHidden/>
          </w:rPr>
          <w:fldChar w:fldCharType="separate"/>
        </w:r>
        <w:r w:rsidR="001D49F0">
          <w:rPr>
            <w:noProof/>
            <w:webHidden/>
          </w:rPr>
          <w:t>64</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64" w:history="1">
        <w:r w:rsidR="000E53DB" w:rsidRPr="000601C5">
          <w:rPr>
            <w:rStyle w:val="Hipervnculo"/>
            <w:noProof/>
          </w:rPr>
          <w:t>5.6</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Agua Superficial</w:t>
        </w:r>
        <w:r w:rsidR="000E53DB">
          <w:rPr>
            <w:noProof/>
            <w:webHidden/>
          </w:rPr>
          <w:tab/>
        </w:r>
        <w:r>
          <w:rPr>
            <w:noProof/>
            <w:webHidden/>
          </w:rPr>
          <w:fldChar w:fldCharType="begin"/>
        </w:r>
        <w:r w:rsidR="000E53DB">
          <w:rPr>
            <w:noProof/>
            <w:webHidden/>
          </w:rPr>
          <w:instrText xml:space="preserve"> PAGEREF _Toc283886464 \h </w:instrText>
        </w:r>
        <w:r>
          <w:rPr>
            <w:noProof/>
            <w:webHidden/>
          </w:rPr>
        </w:r>
        <w:r>
          <w:rPr>
            <w:noProof/>
            <w:webHidden/>
          </w:rPr>
          <w:fldChar w:fldCharType="separate"/>
        </w:r>
        <w:r w:rsidR="001D49F0">
          <w:rPr>
            <w:noProof/>
            <w:webHidden/>
          </w:rPr>
          <w:t>66</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5" w:history="1">
        <w:r w:rsidR="000E53DB" w:rsidRPr="000601C5">
          <w:rPr>
            <w:rStyle w:val="Hipervnculo"/>
            <w:noProof/>
          </w:rPr>
          <w:t>5.6.1</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Hidrograf</w:t>
        </w:r>
        <w:r w:rsidR="000E53DB" w:rsidRPr="000601C5">
          <w:rPr>
            <w:rStyle w:val="Hipervnculo"/>
            <w:rFonts w:hint="eastAsia"/>
            <w:noProof/>
          </w:rPr>
          <w:t>í</w:t>
        </w:r>
        <w:r w:rsidR="000E53DB" w:rsidRPr="000601C5">
          <w:rPr>
            <w:rStyle w:val="Hipervnculo"/>
            <w:noProof/>
          </w:rPr>
          <w:t>a</w:t>
        </w:r>
        <w:r w:rsidR="000E53DB">
          <w:rPr>
            <w:noProof/>
            <w:webHidden/>
          </w:rPr>
          <w:tab/>
        </w:r>
        <w:r>
          <w:rPr>
            <w:noProof/>
            <w:webHidden/>
          </w:rPr>
          <w:fldChar w:fldCharType="begin"/>
        </w:r>
        <w:r w:rsidR="000E53DB">
          <w:rPr>
            <w:noProof/>
            <w:webHidden/>
          </w:rPr>
          <w:instrText xml:space="preserve"> PAGEREF _Toc283886465 \h </w:instrText>
        </w:r>
        <w:r>
          <w:rPr>
            <w:noProof/>
            <w:webHidden/>
          </w:rPr>
        </w:r>
        <w:r>
          <w:rPr>
            <w:noProof/>
            <w:webHidden/>
          </w:rPr>
          <w:fldChar w:fldCharType="separate"/>
        </w:r>
        <w:r w:rsidR="001D49F0">
          <w:rPr>
            <w:noProof/>
            <w:webHidden/>
          </w:rPr>
          <w:t>66</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6" w:history="1">
        <w:r w:rsidR="000E53DB" w:rsidRPr="000601C5">
          <w:rPr>
            <w:rStyle w:val="Hipervnculo"/>
            <w:noProof/>
          </w:rPr>
          <w:t>5.6.2</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Uso del agua superficial</w:t>
        </w:r>
        <w:r w:rsidR="000E53DB">
          <w:rPr>
            <w:noProof/>
            <w:webHidden/>
          </w:rPr>
          <w:tab/>
        </w:r>
        <w:r>
          <w:rPr>
            <w:noProof/>
            <w:webHidden/>
          </w:rPr>
          <w:fldChar w:fldCharType="begin"/>
        </w:r>
        <w:r w:rsidR="000E53DB">
          <w:rPr>
            <w:noProof/>
            <w:webHidden/>
          </w:rPr>
          <w:instrText xml:space="preserve"> PAGEREF _Toc283886466 \h </w:instrText>
        </w:r>
        <w:r>
          <w:rPr>
            <w:noProof/>
            <w:webHidden/>
          </w:rPr>
        </w:r>
        <w:r>
          <w:rPr>
            <w:noProof/>
            <w:webHidden/>
          </w:rPr>
          <w:fldChar w:fldCharType="separate"/>
        </w:r>
        <w:r w:rsidR="001D49F0">
          <w:rPr>
            <w:noProof/>
            <w:webHidden/>
          </w:rPr>
          <w:t>69</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7" w:history="1">
        <w:r w:rsidR="000E53DB" w:rsidRPr="000601C5">
          <w:rPr>
            <w:rStyle w:val="Hipervnculo"/>
            <w:noProof/>
          </w:rPr>
          <w:t>5.6.3</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Calidad de agua superficial</w:t>
        </w:r>
        <w:r w:rsidR="000E53DB">
          <w:rPr>
            <w:noProof/>
            <w:webHidden/>
          </w:rPr>
          <w:tab/>
        </w:r>
        <w:r>
          <w:rPr>
            <w:noProof/>
            <w:webHidden/>
          </w:rPr>
          <w:fldChar w:fldCharType="begin"/>
        </w:r>
        <w:r w:rsidR="000E53DB">
          <w:rPr>
            <w:noProof/>
            <w:webHidden/>
          </w:rPr>
          <w:instrText xml:space="preserve"> PAGEREF _Toc283886467 \h </w:instrText>
        </w:r>
        <w:r>
          <w:rPr>
            <w:noProof/>
            <w:webHidden/>
          </w:rPr>
        </w:r>
        <w:r>
          <w:rPr>
            <w:noProof/>
            <w:webHidden/>
          </w:rPr>
          <w:fldChar w:fldCharType="separate"/>
        </w:r>
        <w:r w:rsidR="001D49F0">
          <w:rPr>
            <w:noProof/>
            <w:webHidden/>
          </w:rPr>
          <w:t>70</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68" w:history="1">
        <w:r w:rsidR="000E53DB" w:rsidRPr="000601C5">
          <w:rPr>
            <w:rStyle w:val="Hipervnculo"/>
            <w:noProof/>
          </w:rPr>
          <w:t>5.6.4</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Caracter</w:t>
        </w:r>
        <w:r w:rsidR="000E53DB" w:rsidRPr="000601C5">
          <w:rPr>
            <w:rStyle w:val="Hipervnculo"/>
            <w:rFonts w:hint="eastAsia"/>
            <w:noProof/>
          </w:rPr>
          <w:t>í</w:t>
        </w:r>
        <w:r w:rsidR="000E53DB" w:rsidRPr="000601C5">
          <w:rPr>
            <w:rStyle w:val="Hipervnculo"/>
            <w:noProof/>
          </w:rPr>
          <w:t>sticas b</w:t>
        </w:r>
        <w:r w:rsidR="000E53DB" w:rsidRPr="000601C5">
          <w:rPr>
            <w:rStyle w:val="Hipervnculo"/>
            <w:rFonts w:hint="eastAsia"/>
            <w:noProof/>
          </w:rPr>
          <w:t>á</w:t>
        </w:r>
        <w:r w:rsidR="000E53DB" w:rsidRPr="000601C5">
          <w:rPr>
            <w:rStyle w:val="Hipervnculo"/>
            <w:noProof/>
          </w:rPr>
          <w:t>sicas de disponibilidad y uso del agua superficial</w:t>
        </w:r>
        <w:r w:rsidR="000E53DB">
          <w:rPr>
            <w:noProof/>
            <w:webHidden/>
          </w:rPr>
          <w:tab/>
        </w:r>
        <w:r>
          <w:rPr>
            <w:noProof/>
            <w:webHidden/>
          </w:rPr>
          <w:fldChar w:fldCharType="begin"/>
        </w:r>
        <w:r w:rsidR="000E53DB">
          <w:rPr>
            <w:noProof/>
            <w:webHidden/>
          </w:rPr>
          <w:instrText xml:space="preserve"> PAGEREF _Toc283886468 \h </w:instrText>
        </w:r>
        <w:r>
          <w:rPr>
            <w:noProof/>
            <w:webHidden/>
          </w:rPr>
        </w:r>
        <w:r>
          <w:rPr>
            <w:noProof/>
            <w:webHidden/>
          </w:rPr>
          <w:fldChar w:fldCharType="separate"/>
        </w:r>
        <w:r w:rsidR="001D49F0">
          <w:rPr>
            <w:noProof/>
            <w:webHidden/>
          </w:rPr>
          <w:t>71</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69" w:history="1">
        <w:r w:rsidR="000E53DB" w:rsidRPr="000601C5">
          <w:rPr>
            <w:rStyle w:val="Hipervnculo"/>
            <w:noProof/>
          </w:rPr>
          <w:t>5.7</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Agua residual</w:t>
        </w:r>
        <w:r w:rsidR="000E53DB">
          <w:rPr>
            <w:noProof/>
            <w:webHidden/>
          </w:rPr>
          <w:tab/>
        </w:r>
        <w:r>
          <w:rPr>
            <w:noProof/>
            <w:webHidden/>
          </w:rPr>
          <w:fldChar w:fldCharType="begin"/>
        </w:r>
        <w:r w:rsidR="000E53DB">
          <w:rPr>
            <w:noProof/>
            <w:webHidden/>
          </w:rPr>
          <w:instrText xml:space="preserve"> PAGEREF _Toc283886469 \h </w:instrText>
        </w:r>
        <w:r>
          <w:rPr>
            <w:noProof/>
            <w:webHidden/>
          </w:rPr>
        </w:r>
        <w:r>
          <w:rPr>
            <w:noProof/>
            <w:webHidden/>
          </w:rPr>
          <w:fldChar w:fldCharType="separate"/>
        </w:r>
        <w:r w:rsidR="001D49F0">
          <w:rPr>
            <w:noProof/>
            <w:webHidden/>
          </w:rPr>
          <w:t>71</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70" w:history="1">
        <w:r w:rsidR="000E53DB" w:rsidRPr="000601C5">
          <w:rPr>
            <w:rStyle w:val="Hipervnculo"/>
            <w:noProof/>
          </w:rPr>
          <w:t>5.7.1</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Calidad</w:t>
        </w:r>
        <w:r w:rsidR="000E53DB">
          <w:rPr>
            <w:noProof/>
            <w:webHidden/>
          </w:rPr>
          <w:tab/>
        </w:r>
        <w:r>
          <w:rPr>
            <w:noProof/>
            <w:webHidden/>
          </w:rPr>
          <w:fldChar w:fldCharType="begin"/>
        </w:r>
        <w:r w:rsidR="000E53DB">
          <w:rPr>
            <w:noProof/>
            <w:webHidden/>
          </w:rPr>
          <w:instrText xml:space="preserve"> PAGEREF _Toc283886470 \h </w:instrText>
        </w:r>
        <w:r>
          <w:rPr>
            <w:noProof/>
            <w:webHidden/>
          </w:rPr>
        </w:r>
        <w:r>
          <w:rPr>
            <w:noProof/>
            <w:webHidden/>
          </w:rPr>
          <w:fldChar w:fldCharType="separate"/>
        </w:r>
        <w:r w:rsidR="001D49F0">
          <w:rPr>
            <w:noProof/>
            <w:webHidden/>
          </w:rPr>
          <w:t>71</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71" w:history="1">
        <w:r w:rsidR="000E53DB" w:rsidRPr="000601C5">
          <w:rPr>
            <w:rStyle w:val="Hipervnculo"/>
            <w:noProof/>
          </w:rPr>
          <w:t>5.7.2</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Caracter</w:t>
        </w:r>
        <w:r w:rsidR="000E53DB" w:rsidRPr="000601C5">
          <w:rPr>
            <w:rStyle w:val="Hipervnculo"/>
            <w:rFonts w:hint="eastAsia"/>
            <w:noProof/>
          </w:rPr>
          <w:t>í</w:t>
        </w:r>
        <w:r w:rsidR="000E53DB" w:rsidRPr="000601C5">
          <w:rPr>
            <w:rStyle w:val="Hipervnculo"/>
            <w:noProof/>
          </w:rPr>
          <w:t>sticas b</w:t>
        </w:r>
        <w:r w:rsidR="000E53DB" w:rsidRPr="000601C5">
          <w:rPr>
            <w:rStyle w:val="Hipervnculo"/>
            <w:rFonts w:hint="eastAsia"/>
            <w:noProof/>
          </w:rPr>
          <w:t>á</w:t>
        </w:r>
        <w:r w:rsidR="000E53DB" w:rsidRPr="000601C5">
          <w:rPr>
            <w:rStyle w:val="Hipervnculo"/>
            <w:noProof/>
          </w:rPr>
          <w:t>sicas de disponibilidad y uso del agua residual tratada y sin tratar</w:t>
        </w:r>
        <w:r w:rsidR="000E53DB">
          <w:rPr>
            <w:noProof/>
            <w:webHidden/>
          </w:rPr>
          <w:tab/>
        </w:r>
        <w:r>
          <w:rPr>
            <w:noProof/>
            <w:webHidden/>
          </w:rPr>
          <w:fldChar w:fldCharType="begin"/>
        </w:r>
        <w:r w:rsidR="000E53DB">
          <w:rPr>
            <w:noProof/>
            <w:webHidden/>
          </w:rPr>
          <w:instrText xml:space="preserve"> PAGEREF _Toc283886471 \h </w:instrText>
        </w:r>
        <w:r>
          <w:rPr>
            <w:noProof/>
            <w:webHidden/>
          </w:rPr>
        </w:r>
        <w:r>
          <w:rPr>
            <w:noProof/>
            <w:webHidden/>
          </w:rPr>
          <w:fldChar w:fldCharType="separate"/>
        </w:r>
        <w:r w:rsidR="001D49F0">
          <w:rPr>
            <w:noProof/>
            <w:webHidden/>
          </w:rPr>
          <w:t>71</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72" w:history="1">
        <w:r w:rsidR="000E53DB" w:rsidRPr="000601C5">
          <w:rPr>
            <w:rStyle w:val="Hipervnculo"/>
            <w:noProof/>
          </w:rPr>
          <w:t>5.7.2.1</w:t>
        </w:r>
        <w:r w:rsidR="000E53DB">
          <w:rPr>
            <w:rFonts w:asciiTheme="minorHAnsi" w:eastAsiaTheme="minorEastAsia" w:hAnsiTheme="minorHAnsi" w:cstheme="minorBidi"/>
            <w:noProof/>
            <w:sz w:val="22"/>
            <w:szCs w:val="22"/>
            <w:lang w:eastAsia="es-MX"/>
          </w:rPr>
          <w:tab/>
        </w:r>
        <w:r w:rsidR="000E53DB" w:rsidRPr="000601C5">
          <w:rPr>
            <w:rStyle w:val="Hipervnculo"/>
            <w:noProof/>
          </w:rPr>
          <w:t>Agua residual generada</w:t>
        </w:r>
        <w:r w:rsidR="000E53DB">
          <w:rPr>
            <w:noProof/>
            <w:webHidden/>
          </w:rPr>
          <w:tab/>
        </w:r>
        <w:r>
          <w:rPr>
            <w:noProof/>
            <w:webHidden/>
          </w:rPr>
          <w:fldChar w:fldCharType="begin"/>
        </w:r>
        <w:r w:rsidR="000E53DB">
          <w:rPr>
            <w:noProof/>
            <w:webHidden/>
          </w:rPr>
          <w:instrText xml:space="preserve"> PAGEREF _Toc283886472 \h </w:instrText>
        </w:r>
        <w:r>
          <w:rPr>
            <w:noProof/>
            <w:webHidden/>
          </w:rPr>
        </w:r>
        <w:r>
          <w:rPr>
            <w:noProof/>
            <w:webHidden/>
          </w:rPr>
          <w:fldChar w:fldCharType="separate"/>
        </w:r>
        <w:r w:rsidR="001D49F0">
          <w:rPr>
            <w:noProof/>
            <w:webHidden/>
          </w:rPr>
          <w:t>71</w:t>
        </w:r>
        <w:r>
          <w:rPr>
            <w:noProof/>
            <w:webHidden/>
          </w:rPr>
          <w:fldChar w:fldCharType="end"/>
        </w:r>
      </w:hyperlink>
    </w:p>
    <w:p w:rsidR="000E53DB" w:rsidRDefault="00BE2961">
      <w:pPr>
        <w:pStyle w:val="TDC4"/>
        <w:tabs>
          <w:tab w:val="left" w:pos="1922"/>
          <w:tab w:val="right" w:leader="dot" w:pos="9678"/>
        </w:tabs>
        <w:rPr>
          <w:rFonts w:asciiTheme="minorHAnsi" w:eastAsiaTheme="minorEastAsia" w:hAnsiTheme="minorHAnsi" w:cstheme="minorBidi"/>
          <w:noProof/>
          <w:sz w:val="22"/>
          <w:szCs w:val="22"/>
          <w:lang w:eastAsia="es-MX"/>
        </w:rPr>
      </w:pPr>
      <w:hyperlink w:anchor="_Toc283886473" w:history="1">
        <w:r w:rsidR="000E53DB" w:rsidRPr="000601C5">
          <w:rPr>
            <w:rStyle w:val="Hipervnculo"/>
            <w:noProof/>
          </w:rPr>
          <w:t>5.7.2.2</w:t>
        </w:r>
        <w:r w:rsidR="000E53DB">
          <w:rPr>
            <w:rFonts w:asciiTheme="minorHAnsi" w:eastAsiaTheme="minorEastAsia" w:hAnsiTheme="minorHAnsi" w:cstheme="minorBidi"/>
            <w:noProof/>
            <w:sz w:val="22"/>
            <w:szCs w:val="22"/>
            <w:lang w:eastAsia="es-MX"/>
          </w:rPr>
          <w:tab/>
        </w:r>
        <w:r w:rsidR="000E53DB" w:rsidRPr="000601C5">
          <w:rPr>
            <w:rStyle w:val="Hipervnculo"/>
            <w:noProof/>
          </w:rPr>
          <w:t>Agua residual tratada y sin tratar</w:t>
        </w:r>
        <w:r w:rsidR="000E53DB">
          <w:rPr>
            <w:noProof/>
            <w:webHidden/>
          </w:rPr>
          <w:tab/>
        </w:r>
        <w:r>
          <w:rPr>
            <w:noProof/>
            <w:webHidden/>
          </w:rPr>
          <w:fldChar w:fldCharType="begin"/>
        </w:r>
        <w:r w:rsidR="000E53DB">
          <w:rPr>
            <w:noProof/>
            <w:webHidden/>
          </w:rPr>
          <w:instrText xml:space="preserve"> PAGEREF _Toc283886473 \h </w:instrText>
        </w:r>
        <w:r>
          <w:rPr>
            <w:noProof/>
            <w:webHidden/>
          </w:rPr>
        </w:r>
        <w:r>
          <w:rPr>
            <w:noProof/>
            <w:webHidden/>
          </w:rPr>
          <w:fldChar w:fldCharType="separate"/>
        </w:r>
        <w:r w:rsidR="001D49F0">
          <w:rPr>
            <w:noProof/>
            <w:webHidden/>
          </w:rPr>
          <w:t>73</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74" w:history="1">
        <w:r w:rsidR="000E53DB" w:rsidRPr="000601C5">
          <w:rPr>
            <w:rStyle w:val="Hipervnculo"/>
            <w:noProof/>
          </w:rPr>
          <w:t>5.8</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Costos del agua</w:t>
        </w:r>
        <w:r w:rsidR="000E53DB">
          <w:rPr>
            <w:noProof/>
            <w:webHidden/>
          </w:rPr>
          <w:tab/>
        </w:r>
        <w:r>
          <w:rPr>
            <w:noProof/>
            <w:webHidden/>
          </w:rPr>
          <w:fldChar w:fldCharType="begin"/>
        </w:r>
        <w:r w:rsidR="000E53DB">
          <w:rPr>
            <w:noProof/>
            <w:webHidden/>
          </w:rPr>
          <w:instrText xml:space="preserve"> PAGEREF _Toc283886474 \h </w:instrText>
        </w:r>
        <w:r>
          <w:rPr>
            <w:noProof/>
            <w:webHidden/>
          </w:rPr>
        </w:r>
        <w:r>
          <w:rPr>
            <w:noProof/>
            <w:webHidden/>
          </w:rPr>
          <w:fldChar w:fldCharType="separate"/>
        </w:r>
        <w:r w:rsidR="001D49F0">
          <w:rPr>
            <w:noProof/>
            <w:webHidden/>
          </w:rPr>
          <w:t>74</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75" w:history="1">
        <w:r w:rsidR="000E53DB" w:rsidRPr="000601C5">
          <w:rPr>
            <w:rStyle w:val="Hipervnculo"/>
            <w:noProof/>
          </w:rPr>
          <w:t>6</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Proyecciones (Pron</w:t>
        </w:r>
        <w:r w:rsidR="000E53DB" w:rsidRPr="000601C5">
          <w:rPr>
            <w:rStyle w:val="Hipervnculo"/>
            <w:rFonts w:hint="eastAsia"/>
            <w:noProof/>
          </w:rPr>
          <w:t>ó</w:t>
        </w:r>
        <w:r w:rsidR="000E53DB" w:rsidRPr="000601C5">
          <w:rPr>
            <w:rStyle w:val="Hipervnculo"/>
            <w:noProof/>
          </w:rPr>
          <w:t>stico)</w:t>
        </w:r>
        <w:r w:rsidR="000E53DB">
          <w:rPr>
            <w:noProof/>
            <w:webHidden/>
          </w:rPr>
          <w:tab/>
        </w:r>
        <w:r>
          <w:rPr>
            <w:noProof/>
            <w:webHidden/>
          </w:rPr>
          <w:fldChar w:fldCharType="begin"/>
        </w:r>
        <w:r w:rsidR="000E53DB">
          <w:rPr>
            <w:noProof/>
            <w:webHidden/>
          </w:rPr>
          <w:instrText xml:space="preserve"> PAGEREF _Toc283886475 \h </w:instrText>
        </w:r>
        <w:r>
          <w:rPr>
            <w:noProof/>
            <w:webHidden/>
          </w:rPr>
        </w:r>
        <w:r>
          <w:rPr>
            <w:noProof/>
            <w:webHidden/>
          </w:rPr>
          <w:fldChar w:fldCharType="separate"/>
        </w:r>
        <w:r w:rsidR="001D49F0">
          <w:rPr>
            <w:noProof/>
            <w:webHidden/>
          </w:rPr>
          <w:t>81</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76" w:history="1">
        <w:r w:rsidR="000E53DB" w:rsidRPr="000601C5">
          <w:rPr>
            <w:rStyle w:val="Hipervnculo"/>
            <w:noProof/>
          </w:rPr>
          <w:t>6.1</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Proyecciones de la disponibilidad</w:t>
        </w:r>
        <w:r w:rsidR="000E53DB">
          <w:rPr>
            <w:noProof/>
            <w:webHidden/>
          </w:rPr>
          <w:tab/>
        </w:r>
        <w:r>
          <w:rPr>
            <w:noProof/>
            <w:webHidden/>
          </w:rPr>
          <w:fldChar w:fldCharType="begin"/>
        </w:r>
        <w:r w:rsidR="000E53DB">
          <w:rPr>
            <w:noProof/>
            <w:webHidden/>
          </w:rPr>
          <w:instrText xml:space="preserve"> PAGEREF _Toc283886476 \h </w:instrText>
        </w:r>
        <w:r>
          <w:rPr>
            <w:noProof/>
            <w:webHidden/>
          </w:rPr>
        </w:r>
        <w:r>
          <w:rPr>
            <w:noProof/>
            <w:webHidden/>
          </w:rPr>
          <w:fldChar w:fldCharType="separate"/>
        </w:r>
        <w:r w:rsidR="001D49F0">
          <w:rPr>
            <w:noProof/>
            <w:webHidden/>
          </w:rPr>
          <w:t>81</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77" w:history="1">
        <w:r w:rsidR="000E53DB" w:rsidRPr="000601C5">
          <w:rPr>
            <w:rStyle w:val="Hipervnculo"/>
            <w:noProof/>
          </w:rPr>
          <w:t>6.2</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Proyecci</w:t>
        </w:r>
        <w:r w:rsidR="000E53DB" w:rsidRPr="000601C5">
          <w:rPr>
            <w:rStyle w:val="Hipervnculo"/>
            <w:rFonts w:hint="eastAsia"/>
            <w:noProof/>
          </w:rPr>
          <w:t>ó</w:t>
        </w:r>
        <w:r w:rsidR="000E53DB" w:rsidRPr="000601C5">
          <w:rPr>
            <w:rStyle w:val="Hipervnculo"/>
            <w:noProof/>
          </w:rPr>
          <w:t>n de la demanda</w:t>
        </w:r>
        <w:r w:rsidR="000E53DB">
          <w:rPr>
            <w:noProof/>
            <w:webHidden/>
          </w:rPr>
          <w:tab/>
        </w:r>
        <w:r>
          <w:rPr>
            <w:noProof/>
            <w:webHidden/>
          </w:rPr>
          <w:fldChar w:fldCharType="begin"/>
        </w:r>
        <w:r w:rsidR="000E53DB">
          <w:rPr>
            <w:noProof/>
            <w:webHidden/>
          </w:rPr>
          <w:instrText xml:space="preserve"> PAGEREF _Toc283886477 \h </w:instrText>
        </w:r>
        <w:r>
          <w:rPr>
            <w:noProof/>
            <w:webHidden/>
          </w:rPr>
        </w:r>
        <w:r>
          <w:rPr>
            <w:noProof/>
            <w:webHidden/>
          </w:rPr>
          <w:fldChar w:fldCharType="separate"/>
        </w:r>
        <w:r w:rsidR="001D49F0">
          <w:rPr>
            <w:noProof/>
            <w:webHidden/>
          </w:rPr>
          <w:t>92</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78" w:history="1">
        <w:r w:rsidR="000E53DB" w:rsidRPr="000601C5">
          <w:rPr>
            <w:rStyle w:val="Hipervnculo"/>
            <w:noProof/>
          </w:rPr>
          <w:t>6.3</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Descripci</w:t>
        </w:r>
        <w:r w:rsidR="000E53DB" w:rsidRPr="000601C5">
          <w:rPr>
            <w:rStyle w:val="Hipervnculo"/>
            <w:rFonts w:hint="eastAsia"/>
            <w:noProof/>
          </w:rPr>
          <w:t>ó</w:t>
        </w:r>
        <w:r w:rsidR="000E53DB" w:rsidRPr="000601C5">
          <w:rPr>
            <w:rStyle w:val="Hipervnculo"/>
            <w:noProof/>
          </w:rPr>
          <w:t>n de escenarios</w:t>
        </w:r>
        <w:r w:rsidR="000E53DB">
          <w:rPr>
            <w:noProof/>
            <w:webHidden/>
          </w:rPr>
          <w:tab/>
        </w:r>
        <w:r>
          <w:rPr>
            <w:noProof/>
            <w:webHidden/>
          </w:rPr>
          <w:fldChar w:fldCharType="begin"/>
        </w:r>
        <w:r w:rsidR="000E53DB">
          <w:rPr>
            <w:noProof/>
            <w:webHidden/>
          </w:rPr>
          <w:instrText xml:space="preserve"> PAGEREF _Toc283886478 \h </w:instrText>
        </w:r>
        <w:r>
          <w:rPr>
            <w:noProof/>
            <w:webHidden/>
          </w:rPr>
        </w:r>
        <w:r>
          <w:rPr>
            <w:noProof/>
            <w:webHidden/>
          </w:rPr>
          <w:fldChar w:fldCharType="separate"/>
        </w:r>
        <w:r w:rsidR="001D49F0">
          <w:rPr>
            <w:noProof/>
            <w:webHidden/>
          </w:rPr>
          <w:t>110</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79" w:history="1">
        <w:r w:rsidR="000E53DB" w:rsidRPr="000601C5">
          <w:rPr>
            <w:rStyle w:val="Hipervnculo"/>
            <w:noProof/>
          </w:rPr>
          <w:t>7</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Descripci</w:t>
        </w:r>
        <w:r w:rsidR="000E53DB" w:rsidRPr="000601C5">
          <w:rPr>
            <w:rStyle w:val="Hipervnculo"/>
            <w:rFonts w:hint="eastAsia"/>
            <w:noProof/>
          </w:rPr>
          <w:t>ó</w:t>
        </w:r>
        <w:r w:rsidR="000E53DB" w:rsidRPr="000601C5">
          <w:rPr>
            <w:rStyle w:val="Hipervnculo"/>
            <w:noProof/>
          </w:rPr>
          <w:t>n del plan</w:t>
        </w:r>
        <w:r w:rsidR="000E53DB">
          <w:rPr>
            <w:noProof/>
            <w:webHidden/>
          </w:rPr>
          <w:tab/>
        </w:r>
        <w:r>
          <w:rPr>
            <w:noProof/>
            <w:webHidden/>
          </w:rPr>
          <w:fldChar w:fldCharType="begin"/>
        </w:r>
        <w:r w:rsidR="000E53DB">
          <w:rPr>
            <w:noProof/>
            <w:webHidden/>
          </w:rPr>
          <w:instrText xml:space="preserve"> PAGEREF _Toc283886479 \h </w:instrText>
        </w:r>
        <w:r>
          <w:rPr>
            <w:noProof/>
            <w:webHidden/>
          </w:rPr>
        </w:r>
        <w:r>
          <w:rPr>
            <w:noProof/>
            <w:webHidden/>
          </w:rPr>
          <w:fldChar w:fldCharType="separate"/>
        </w:r>
        <w:r w:rsidR="001D49F0">
          <w:rPr>
            <w:noProof/>
            <w:webHidden/>
          </w:rPr>
          <w:t>115</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80" w:history="1">
        <w:r w:rsidR="000E53DB" w:rsidRPr="000601C5">
          <w:rPr>
            <w:rStyle w:val="Hipervnculo"/>
            <w:noProof/>
          </w:rPr>
          <w:t>7.1</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Descripci</w:t>
        </w:r>
        <w:r w:rsidR="000E53DB" w:rsidRPr="000601C5">
          <w:rPr>
            <w:rStyle w:val="Hipervnculo"/>
            <w:rFonts w:hint="eastAsia"/>
            <w:noProof/>
          </w:rPr>
          <w:t>ó</w:t>
        </w:r>
        <w:r w:rsidR="000E53DB" w:rsidRPr="000601C5">
          <w:rPr>
            <w:rStyle w:val="Hipervnculo"/>
            <w:noProof/>
          </w:rPr>
          <w:t>n de los objetivos estrat</w:t>
        </w:r>
        <w:r w:rsidR="000E53DB" w:rsidRPr="000601C5">
          <w:rPr>
            <w:rStyle w:val="Hipervnculo"/>
            <w:rFonts w:hint="eastAsia"/>
            <w:noProof/>
          </w:rPr>
          <w:t>é</w:t>
        </w:r>
        <w:r w:rsidR="000E53DB" w:rsidRPr="000601C5">
          <w:rPr>
            <w:rStyle w:val="Hipervnculo"/>
            <w:noProof/>
          </w:rPr>
          <w:t>gicos</w:t>
        </w:r>
        <w:r w:rsidR="000E53DB">
          <w:rPr>
            <w:noProof/>
            <w:webHidden/>
          </w:rPr>
          <w:tab/>
        </w:r>
        <w:r>
          <w:rPr>
            <w:noProof/>
            <w:webHidden/>
          </w:rPr>
          <w:fldChar w:fldCharType="begin"/>
        </w:r>
        <w:r w:rsidR="000E53DB">
          <w:rPr>
            <w:noProof/>
            <w:webHidden/>
          </w:rPr>
          <w:instrText xml:space="preserve"> PAGEREF _Toc283886480 \h </w:instrText>
        </w:r>
        <w:r>
          <w:rPr>
            <w:noProof/>
            <w:webHidden/>
          </w:rPr>
        </w:r>
        <w:r>
          <w:rPr>
            <w:noProof/>
            <w:webHidden/>
          </w:rPr>
          <w:fldChar w:fldCharType="separate"/>
        </w:r>
        <w:r w:rsidR="001D49F0">
          <w:rPr>
            <w:noProof/>
            <w:webHidden/>
          </w:rPr>
          <w:t>115</w:t>
        </w:r>
        <w:r>
          <w:rPr>
            <w:noProof/>
            <w:webHidden/>
          </w:rPr>
          <w:fldChar w:fldCharType="end"/>
        </w:r>
      </w:hyperlink>
    </w:p>
    <w:p w:rsidR="000E53DB" w:rsidRDefault="00BE2961">
      <w:pPr>
        <w:pStyle w:val="TDC2"/>
        <w:tabs>
          <w:tab w:val="left" w:pos="1202"/>
          <w:tab w:val="right" w:leader="dot" w:pos="9678"/>
        </w:tabs>
        <w:rPr>
          <w:rFonts w:asciiTheme="minorHAnsi" w:eastAsiaTheme="minorEastAsia" w:hAnsiTheme="minorHAnsi" w:cstheme="minorBidi"/>
          <w:smallCaps w:val="0"/>
          <w:noProof/>
          <w:sz w:val="22"/>
          <w:szCs w:val="22"/>
          <w:lang w:eastAsia="es-MX"/>
        </w:rPr>
      </w:pPr>
      <w:hyperlink w:anchor="_Toc283886481" w:history="1">
        <w:r w:rsidR="000E53DB" w:rsidRPr="000601C5">
          <w:rPr>
            <w:rStyle w:val="Hipervnculo"/>
            <w:noProof/>
          </w:rPr>
          <w:t>7.2</w:t>
        </w:r>
        <w:r w:rsidR="000E53DB">
          <w:rPr>
            <w:rFonts w:asciiTheme="minorHAnsi" w:eastAsiaTheme="minorEastAsia" w:hAnsiTheme="minorHAnsi" w:cstheme="minorBidi"/>
            <w:smallCaps w:val="0"/>
            <w:noProof/>
            <w:sz w:val="22"/>
            <w:szCs w:val="22"/>
            <w:lang w:eastAsia="es-MX"/>
          </w:rPr>
          <w:tab/>
        </w:r>
        <w:r w:rsidR="000E53DB" w:rsidRPr="000601C5">
          <w:rPr>
            <w:rStyle w:val="Hipervnculo"/>
            <w:noProof/>
          </w:rPr>
          <w:t>Descripci</w:t>
        </w:r>
        <w:r w:rsidR="000E53DB" w:rsidRPr="000601C5">
          <w:rPr>
            <w:rStyle w:val="Hipervnculo"/>
            <w:rFonts w:hint="eastAsia"/>
            <w:noProof/>
          </w:rPr>
          <w:t>ó</w:t>
        </w:r>
        <w:r w:rsidR="000E53DB" w:rsidRPr="000601C5">
          <w:rPr>
            <w:rStyle w:val="Hipervnculo"/>
            <w:noProof/>
          </w:rPr>
          <w:t>n de las l</w:t>
        </w:r>
        <w:r w:rsidR="000E53DB" w:rsidRPr="000601C5">
          <w:rPr>
            <w:rStyle w:val="Hipervnculo"/>
            <w:rFonts w:hint="eastAsia"/>
            <w:noProof/>
          </w:rPr>
          <w:t>í</w:t>
        </w:r>
        <w:r w:rsidR="000E53DB" w:rsidRPr="000601C5">
          <w:rPr>
            <w:rStyle w:val="Hipervnculo"/>
            <w:noProof/>
          </w:rPr>
          <w:t>neas de acci</w:t>
        </w:r>
        <w:r w:rsidR="000E53DB" w:rsidRPr="000601C5">
          <w:rPr>
            <w:rStyle w:val="Hipervnculo"/>
            <w:rFonts w:hint="eastAsia"/>
            <w:noProof/>
          </w:rPr>
          <w:t>ó</w:t>
        </w:r>
        <w:r w:rsidR="000E53DB" w:rsidRPr="000601C5">
          <w:rPr>
            <w:rStyle w:val="Hipervnculo"/>
            <w:noProof/>
          </w:rPr>
          <w:t>n</w:t>
        </w:r>
        <w:r w:rsidR="000E53DB">
          <w:rPr>
            <w:noProof/>
            <w:webHidden/>
          </w:rPr>
          <w:tab/>
        </w:r>
        <w:r>
          <w:rPr>
            <w:noProof/>
            <w:webHidden/>
          </w:rPr>
          <w:fldChar w:fldCharType="begin"/>
        </w:r>
        <w:r w:rsidR="000E53DB">
          <w:rPr>
            <w:noProof/>
            <w:webHidden/>
          </w:rPr>
          <w:instrText xml:space="preserve"> PAGEREF _Toc283886481 \h </w:instrText>
        </w:r>
        <w:r>
          <w:rPr>
            <w:noProof/>
            <w:webHidden/>
          </w:rPr>
        </w:r>
        <w:r>
          <w:rPr>
            <w:noProof/>
            <w:webHidden/>
          </w:rPr>
          <w:fldChar w:fldCharType="separate"/>
        </w:r>
        <w:r w:rsidR="001D49F0">
          <w:rPr>
            <w:noProof/>
            <w:webHidden/>
          </w:rPr>
          <w:t>117</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82" w:history="1">
        <w:r w:rsidR="000E53DB" w:rsidRPr="000601C5">
          <w:rPr>
            <w:rStyle w:val="Hipervnculo"/>
            <w:noProof/>
          </w:rPr>
          <w:t>8</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Costos y financiamiento</w:t>
        </w:r>
        <w:r w:rsidR="000E53DB">
          <w:rPr>
            <w:noProof/>
            <w:webHidden/>
          </w:rPr>
          <w:tab/>
        </w:r>
        <w:r>
          <w:rPr>
            <w:noProof/>
            <w:webHidden/>
          </w:rPr>
          <w:fldChar w:fldCharType="begin"/>
        </w:r>
        <w:r w:rsidR="000E53DB">
          <w:rPr>
            <w:noProof/>
            <w:webHidden/>
          </w:rPr>
          <w:instrText xml:space="preserve"> PAGEREF _Toc283886482 \h </w:instrText>
        </w:r>
        <w:r>
          <w:rPr>
            <w:noProof/>
            <w:webHidden/>
          </w:rPr>
        </w:r>
        <w:r>
          <w:rPr>
            <w:noProof/>
            <w:webHidden/>
          </w:rPr>
          <w:fldChar w:fldCharType="separate"/>
        </w:r>
        <w:r w:rsidR="001D49F0">
          <w:rPr>
            <w:noProof/>
            <w:webHidden/>
          </w:rPr>
          <w:t>152</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83" w:history="1">
        <w:r w:rsidR="000E53DB" w:rsidRPr="000601C5">
          <w:rPr>
            <w:rStyle w:val="Hipervnculo"/>
            <w:noProof/>
          </w:rPr>
          <w:t>8.1.1</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Costos</w:t>
        </w:r>
        <w:r w:rsidR="000E53DB">
          <w:rPr>
            <w:noProof/>
            <w:webHidden/>
          </w:rPr>
          <w:tab/>
        </w:r>
        <w:r>
          <w:rPr>
            <w:noProof/>
            <w:webHidden/>
          </w:rPr>
          <w:fldChar w:fldCharType="begin"/>
        </w:r>
        <w:r w:rsidR="000E53DB">
          <w:rPr>
            <w:noProof/>
            <w:webHidden/>
          </w:rPr>
          <w:instrText xml:space="preserve"> PAGEREF _Toc283886483 \h </w:instrText>
        </w:r>
        <w:r>
          <w:rPr>
            <w:noProof/>
            <w:webHidden/>
          </w:rPr>
        </w:r>
        <w:r>
          <w:rPr>
            <w:noProof/>
            <w:webHidden/>
          </w:rPr>
          <w:fldChar w:fldCharType="separate"/>
        </w:r>
        <w:r w:rsidR="001D49F0">
          <w:rPr>
            <w:noProof/>
            <w:webHidden/>
          </w:rPr>
          <w:t>152</w:t>
        </w:r>
        <w:r>
          <w:rPr>
            <w:noProof/>
            <w:webHidden/>
          </w:rPr>
          <w:fldChar w:fldCharType="end"/>
        </w:r>
      </w:hyperlink>
    </w:p>
    <w:p w:rsidR="000E53DB" w:rsidRDefault="00BE2961">
      <w:pPr>
        <w:pStyle w:val="TDC3"/>
        <w:tabs>
          <w:tab w:val="left" w:pos="1440"/>
          <w:tab w:val="right" w:leader="dot" w:pos="9678"/>
        </w:tabs>
        <w:rPr>
          <w:rFonts w:asciiTheme="minorHAnsi" w:eastAsiaTheme="minorEastAsia" w:hAnsiTheme="minorHAnsi" w:cstheme="minorBidi"/>
          <w:i w:val="0"/>
          <w:iCs w:val="0"/>
          <w:noProof/>
          <w:sz w:val="22"/>
          <w:szCs w:val="22"/>
          <w:lang w:eastAsia="es-MX"/>
        </w:rPr>
      </w:pPr>
      <w:hyperlink w:anchor="_Toc283886484" w:history="1">
        <w:r w:rsidR="000E53DB" w:rsidRPr="000601C5">
          <w:rPr>
            <w:rStyle w:val="Hipervnculo"/>
            <w:noProof/>
          </w:rPr>
          <w:t>8.1.2</w:t>
        </w:r>
        <w:r w:rsidR="000E53DB">
          <w:rPr>
            <w:rFonts w:asciiTheme="minorHAnsi" w:eastAsiaTheme="minorEastAsia" w:hAnsiTheme="minorHAnsi" w:cstheme="minorBidi"/>
            <w:i w:val="0"/>
            <w:iCs w:val="0"/>
            <w:noProof/>
            <w:sz w:val="22"/>
            <w:szCs w:val="22"/>
            <w:lang w:eastAsia="es-MX"/>
          </w:rPr>
          <w:tab/>
        </w:r>
        <w:r w:rsidR="000E53DB" w:rsidRPr="000601C5">
          <w:rPr>
            <w:rStyle w:val="Hipervnculo"/>
            <w:noProof/>
          </w:rPr>
          <w:t>Financiamiento</w:t>
        </w:r>
        <w:r w:rsidR="000E53DB">
          <w:rPr>
            <w:noProof/>
            <w:webHidden/>
          </w:rPr>
          <w:tab/>
        </w:r>
        <w:r>
          <w:rPr>
            <w:noProof/>
            <w:webHidden/>
          </w:rPr>
          <w:fldChar w:fldCharType="begin"/>
        </w:r>
        <w:r w:rsidR="000E53DB">
          <w:rPr>
            <w:noProof/>
            <w:webHidden/>
          </w:rPr>
          <w:instrText xml:space="preserve"> PAGEREF _Toc283886484 \h </w:instrText>
        </w:r>
        <w:r>
          <w:rPr>
            <w:noProof/>
            <w:webHidden/>
          </w:rPr>
        </w:r>
        <w:r>
          <w:rPr>
            <w:noProof/>
            <w:webHidden/>
          </w:rPr>
          <w:fldChar w:fldCharType="separate"/>
        </w:r>
        <w:r w:rsidR="001D49F0">
          <w:rPr>
            <w:noProof/>
            <w:webHidden/>
          </w:rPr>
          <w:t>165</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85" w:history="1">
        <w:r w:rsidR="000E53DB" w:rsidRPr="000601C5">
          <w:rPr>
            <w:rStyle w:val="Hipervnculo"/>
            <w:noProof/>
          </w:rPr>
          <w:t>9</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Beneficios e impacto</w:t>
        </w:r>
        <w:r w:rsidR="000E53DB">
          <w:rPr>
            <w:noProof/>
            <w:webHidden/>
          </w:rPr>
          <w:tab/>
        </w:r>
        <w:r>
          <w:rPr>
            <w:noProof/>
            <w:webHidden/>
          </w:rPr>
          <w:fldChar w:fldCharType="begin"/>
        </w:r>
        <w:r w:rsidR="000E53DB">
          <w:rPr>
            <w:noProof/>
            <w:webHidden/>
          </w:rPr>
          <w:instrText xml:space="preserve"> PAGEREF _Toc283886485 \h </w:instrText>
        </w:r>
        <w:r>
          <w:rPr>
            <w:noProof/>
            <w:webHidden/>
          </w:rPr>
        </w:r>
        <w:r>
          <w:rPr>
            <w:noProof/>
            <w:webHidden/>
          </w:rPr>
          <w:fldChar w:fldCharType="separate"/>
        </w:r>
        <w:r w:rsidR="001D49F0">
          <w:rPr>
            <w:noProof/>
            <w:webHidden/>
          </w:rPr>
          <w:t>167</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86" w:history="1">
        <w:r w:rsidR="000E53DB" w:rsidRPr="000601C5">
          <w:rPr>
            <w:rStyle w:val="Hipervnculo"/>
            <w:noProof/>
          </w:rPr>
          <w:t>10</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Implementaci</w:t>
        </w:r>
        <w:r w:rsidR="000E53DB" w:rsidRPr="000601C5">
          <w:rPr>
            <w:rStyle w:val="Hipervnculo"/>
            <w:rFonts w:hint="eastAsia"/>
            <w:noProof/>
          </w:rPr>
          <w:t>ó</w:t>
        </w:r>
        <w:r w:rsidR="000E53DB" w:rsidRPr="000601C5">
          <w:rPr>
            <w:rStyle w:val="Hipervnculo"/>
            <w:noProof/>
          </w:rPr>
          <w:t>n</w:t>
        </w:r>
        <w:r w:rsidR="000E53DB">
          <w:rPr>
            <w:noProof/>
            <w:webHidden/>
          </w:rPr>
          <w:tab/>
        </w:r>
        <w:r>
          <w:rPr>
            <w:noProof/>
            <w:webHidden/>
          </w:rPr>
          <w:fldChar w:fldCharType="begin"/>
        </w:r>
        <w:r w:rsidR="000E53DB">
          <w:rPr>
            <w:noProof/>
            <w:webHidden/>
          </w:rPr>
          <w:instrText xml:space="preserve"> PAGEREF _Toc283886486 \h </w:instrText>
        </w:r>
        <w:r>
          <w:rPr>
            <w:noProof/>
            <w:webHidden/>
          </w:rPr>
        </w:r>
        <w:r>
          <w:rPr>
            <w:noProof/>
            <w:webHidden/>
          </w:rPr>
          <w:fldChar w:fldCharType="separate"/>
        </w:r>
        <w:r w:rsidR="001D49F0">
          <w:rPr>
            <w:noProof/>
            <w:webHidden/>
          </w:rPr>
          <w:t>169</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87" w:history="1">
        <w:r w:rsidR="000E53DB" w:rsidRPr="000601C5">
          <w:rPr>
            <w:rStyle w:val="Hipervnculo"/>
            <w:noProof/>
          </w:rPr>
          <w:t>11</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Plan de contingencia (escasez extrema)</w:t>
        </w:r>
        <w:r w:rsidR="000E53DB">
          <w:rPr>
            <w:noProof/>
            <w:webHidden/>
          </w:rPr>
          <w:tab/>
        </w:r>
        <w:r>
          <w:rPr>
            <w:noProof/>
            <w:webHidden/>
          </w:rPr>
          <w:fldChar w:fldCharType="begin"/>
        </w:r>
        <w:r w:rsidR="000E53DB">
          <w:rPr>
            <w:noProof/>
            <w:webHidden/>
          </w:rPr>
          <w:instrText xml:space="preserve"> PAGEREF _Toc283886487 \h </w:instrText>
        </w:r>
        <w:r>
          <w:rPr>
            <w:noProof/>
            <w:webHidden/>
          </w:rPr>
        </w:r>
        <w:r>
          <w:rPr>
            <w:noProof/>
            <w:webHidden/>
          </w:rPr>
          <w:fldChar w:fldCharType="separate"/>
        </w:r>
        <w:r w:rsidR="001D49F0">
          <w:rPr>
            <w:noProof/>
            <w:webHidden/>
          </w:rPr>
          <w:t>176</w:t>
        </w:r>
        <w:r>
          <w:rPr>
            <w:noProof/>
            <w:webHidden/>
          </w:rPr>
          <w:fldChar w:fldCharType="end"/>
        </w:r>
      </w:hyperlink>
    </w:p>
    <w:p w:rsidR="000E53DB" w:rsidRDefault="00BE2961">
      <w:pPr>
        <w:pStyle w:val="TDC1"/>
        <w:tabs>
          <w:tab w:val="left" w:pos="720"/>
          <w:tab w:val="right" w:leader="dot" w:pos="9678"/>
        </w:tabs>
        <w:rPr>
          <w:rFonts w:asciiTheme="minorHAnsi" w:eastAsiaTheme="minorEastAsia" w:hAnsiTheme="minorHAnsi" w:cstheme="minorBidi"/>
          <w:b w:val="0"/>
          <w:bCs w:val="0"/>
          <w:caps w:val="0"/>
          <w:noProof/>
          <w:sz w:val="22"/>
          <w:szCs w:val="22"/>
          <w:lang w:eastAsia="es-MX"/>
        </w:rPr>
      </w:pPr>
      <w:hyperlink w:anchor="_Toc283886488" w:history="1">
        <w:r w:rsidR="000E53DB" w:rsidRPr="000601C5">
          <w:rPr>
            <w:rStyle w:val="Hipervnculo"/>
            <w:noProof/>
          </w:rPr>
          <w:t>12</w:t>
        </w:r>
        <w:r w:rsidR="000E53DB">
          <w:rPr>
            <w:rFonts w:asciiTheme="minorHAnsi" w:eastAsiaTheme="minorEastAsia" w:hAnsiTheme="minorHAnsi" w:cstheme="minorBidi"/>
            <w:b w:val="0"/>
            <w:bCs w:val="0"/>
            <w:caps w:val="0"/>
            <w:noProof/>
            <w:sz w:val="22"/>
            <w:szCs w:val="22"/>
            <w:lang w:eastAsia="es-MX"/>
          </w:rPr>
          <w:tab/>
        </w:r>
        <w:r w:rsidR="000E53DB" w:rsidRPr="000601C5">
          <w:rPr>
            <w:rStyle w:val="Hipervnculo"/>
            <w:noProof/>
          </w:rPr>
          <w:t>Conclusiones y recomendaciones</w:t>
        </w:r>
        <w:r w:rsidR="000E53DB">
          <w:rPr>
            <w:noProof/>
            <w:webHidden/>
          </w:rPr>
          <w:tab/>
        </w:r>
        <w:r>
          <w:rPr>
            <w:noProof/>
            <w:webHidden/>
          </w:rPr>
          <w:fldChar w:fldCharType="begin"/>
        </w:r>
        <w:r w:rsidR="000E53DB">
          <w:rPr>
            <w:noProof/>
            <w:webHidden/>
          </w:rPr>
          <w:instrText xml:space="preserve"> PAGEREF _Toc283886488 \h </w:instrText>
        </w:r>
        <w:r>
          <w:rPr>
            <w:noProof/>
            <w:webHidden/>
          </w:rPr>
        </w:r>
        <w:r>
          <w:rPr>
            <w:noProof/>
            <w:webHidden/>
          </w:rPr>
          <w:fldChar w:fldCharType="separate"/>
        </w:r>
        <w:r w:rsidR="001D49F0">
          <w:rPr>
            <w:noProof/>
            <w:webHidden/>
          </w:rPr>
          <w:t>185</w:t>
        </w:r>
        <w:r>
          <w:rPr>
            <w:noProof/>
            <w:webHidden/>
          </w:rPr>
          <w:fldChar w:fldCharType="end"/>
        </w:r>
      </w:hyperlink>
    </w:p>
    <w:p w:rsidR="000E53DB" w:rsidRDefault="00BE2961">
      <w:pPr>
        <w:pStyle w:val="TDC2"/>
        <w:tabs>
          <w:tab w:val="right" w:leader="dot" w:pos="9678"/>
        </w:tabs>
        <w:rPr>
          <w:rFonts w:asciiTheme="minorHAnsi" w:eastAsiaTheme="minorEastAsia" w:hAnsiTheme="minorHAnsi" w:cstheme="minorBidi"/>
          <w:smallCaps w:val="0"/>
          <w:noProof/>
          <w:sz w:val="22"/>
          <w:szCs w:val="22"/>
          <w:lang w:eastAsia="es-MX"/>
        </w:rPr>
      </w:pPr>
      <w:hyperlink w:anchor="_Toc283886489" w:history="1">
        <w:r w:rsidR="000E53DB" w:rsidRPr="000601C5">
          <w:rPr>
            <w:rStyle w:val="Hipervnculo"/>
            <w:noProof/>
          </w:rPr>
          <w:t>Conclusiones</w:t>
        </w:r>
        <w:r w:rsidR="000E53DB">
          <w:rPr>
            <w:noProof/>
            <w:webHidden/>
          </w:rPr>
          <w:tab/>
        </w:r>
        <w:r>
          <w:rPr>
            <w:noProof/>
            <w:webHidden/>
          </w:rPr>
          <w:fldChar w:fldCharType="begin"/>
        </w:r>
        <w:r w:rsidR="000E53DB">
          <w:rPr>
            <w:noProof/>
            <w:webHidden/>
          </w:rPr>
          <w:instrText xml:space="preserve"> PAGEREF _Toc283886489 \h </w:instrText>
        </w:r>
        <w:r>
          <w:rPr>
            <w:noProof/>
            <w:webHidden/>
          </w:rPr>
        </w:r>
        <w:r>
          <w:rPr>
            <w:noProof/>
            <w:webHidden/>
          </w:rPr>
          <w:fldChar w:fldCharType="separate"/>
        </w:r>
        <w:r w:rsidR="001D49F0">
          <w:rPr>
            <w:noProof/>
            <w:webHidden/>
          </w:rPr>
          <w:t>185</w:t>
        </w:r>
        <w:r>
          <w:rPr>
            <w:noProof/>
            <w:webHidden/>
          </w:rPr>
          <w:fldChar w:fldCharType="end"/>
        </w:r>
      </w:hyperlink>
    </w:p>
    <w:p w:rsidR="000E53DB" w:rsidRDefault="00BE2961">
      <w:pPr>
        <w:pStyle w:val="TDC2"/>
        <w:tabs>
          <w:tab w:val="right" w:leader="dot" w:pos="9678"/>
        </w:tabs>
        <w:rPr>
          <w:rFonts w:asciiTheme="minorHAnsi" w:eastAsiaTheme="minorEastAsia" w:hAnsiTheme="minorHAnsi" w:cstheme="minorBidi"/>
          <w:smallCaps w:val="0"/>
          <w:noProof/>
          <w:sz w:val="22"/>
          <w:szCs w:val="22"/>
          <w:lang w:eastAsia="es-MX"/>
        </w:rPr>
      </w:pPr>
      <w:hyperlink w:anchor="_Toc283886490" w:history="1">
        <w:r w:rsidR="000E53DB" w:rsidRPr="000601C5">
          <w:rPr>
            <w:rStyle w:val="Hipervnculo"/>
            <w:noProof/>
          </w:rPr>
          <w:t>Recomendaciones</w:t>
        </w:r>
        <w:r w:rsidR="000E53DB">
          <w:rPr>
            <w:noProof/>
            <w:webHidden/>
          </w:rPr>
          <w:tab/>
        </w:r>
        <w:r>
          <w:rPr>
            <w:noProof/>
            <w:webHidden/>
          </w:rPr>
          <w:fldChar w:fldCharType="begin"/>
        </w:r>
        <w:r w:rsidR="000E53DB">
          <w:rPr>
            <w:noProof/>
            <w:webHidden/>
          </w:rPr>
          <w:instrText xml:space="preserve"> PAGEREF _Toc283886490 \h </w:instrText>
        </w:r>
        <w:r>
          <w:rPr>
            <w:noProof/>
            <w:webHidden/>
          </w:rPr>
        </w:r>
        <w:r>
          <w:rPr>
            <w:noProof/>
            <w:webHidden/>
          </w:rPr>
          <w:fldChar w:fldCharType="separate"/>
        </w:r>
        <w:r w:rsidR="001D49F0">
          <w:rPr>
            <w:noProof/>
            <w:webHidden/>
          </w:rPr>
          <w:t>186</w:t>
        </w:r>
        <w:r>
          <w:rPr>
            <w:noProof/>
            <w:webHidden/>
          </w:rPr>
          <w:fldChar w:fldCharType="end"/>
        </w:r>
      </w:hyperlink>
    </w:p>
    <w:p w:rsidR="005D7865" w:rsidRPr="000A38AB" w:rsidRDefault="00BE2961" w:rsidP="00014C20">
      <w:pPr>
        <w:rPr>
          <w:highlight w:val="red"/>
        </w:rPr>
      </w:pPr>
      <w:r>
        <w:rPr>
          <w:rFonts w:ascii="Times New Roman" w:hAnsi="Times New Roman" w:cs="Times New Roman"/>
          <w:u w:val="single"/>
        </w:rPr>
        <w:fldChar w:fldCharType="end"/>
      </w:r>
    </w:p>
    <w:p w:rsidR="005D7865" w:rsidRPr="003D6784" w:rsidRDefault="003D6784" w:rsidP="00014C20">
      <w:r>
        <w:rPr>
          <w:highlight w:val="red"/>
        </w:rPr>
        <w:br w:type="page"/>
      </w:r>
    </w:p>
    <w:p w:rsidR="00AB28D8" w:rsidRDefault="00AB28D8" w:rsidP="0039370B">
      <w:pPr>
        <w:pStyle w:val="PORTADA"/>
      </w:pPr>
    </w:p>
    <w:p w:rsidR="00A12466" w:rsidRDefault="00A12466" w:rsidP="008011C2">
      <w:pPr>
        <w:pStyle w:val="PORTADA"/>
        <w:outlineLvl w:val="0"/>
      </w:pPr>
    </w:p>
    <w:p w:rsidR="003D6784" w:rsidRPr="00E469A5" w:rsidRDefault="003D6784" w:rsidP="008011C2">
      <w:pPr>
        <w:pStyle w:val="PORTADA"/>
        <w:outlineLvl w:val="0"/>
      </w:pPr>
      <w:r w:rsidRPr="00E469A5">
        <w:t>SIGLAS Y ACRÓNIMOS</w:t>
      </w:r>
    </w:p>
    <w:p w:rsidR="00592345" w:rsidRDefault="00592345" w:rsidP="00512F5E"/>
    <w:p w:rsidR="0039118E" w:rsidRDefault="0039118E" w:rsidP="00512F5E">
      <w:r>
        <w:t>CHCVM</w:t>
      </w:r>
      <w:r>
        <w:tab/>
      </w:r>
      <w:r>
        <w:tab/>
        <w:t>Comisión Hidrológica de la C</w:t>
      </w:r>
      <w:r w:rsidR="00402BF0">
        <w:t>uenca</w:t>
      </w:r>
      <w:r>
        <w:t xml:space="preserve"> del Valle de México</w:t>
      </w:r>
    </w:p>
    <w:p w:rsidR="0020772C" w:rsidRDefault="0020772C" w:rsidP="00512F5E">
      <w:r>
        <w:t>CENAPRED</w:t>
      </w:r>
      <w:r>
        <w:tab/>
        <w:t>Centro Nacional de Prevención de Desastres</w:t>
      </w:r>
    </w:p>
    <w:p w:rsidR="00512F5E" w:rsidRDefault="00512F5E" w:rsidP="00512F5E">
      <w:r>
        <w:t>CONAGUA</w:t>
      </w:r>
      <w:r>
        <w:tab/>
      </w:r>
      <w:r>
        <w:tab/>
        <w:t>Comisión Nacional del Agua</w:t>
      </w:r>
    </w:p>
    <w:p w:rsidR="00512F5E" w:rsidRDefault="00512F5E" w:rsidP="00512F5E">
      <w:r>
        <w:t>CONABIO</w:t>
      </w:r>
      <w:r>
        <w:tab/>
      </w:r>
      <w:r>
        <w:tab/>
        <w:t>Comisión Nacional para el Conocim</w:t>
      </w:r>
      <w:r w:rsidR="00753B4F">
        <w:t>iento y Uso de la Biodiversidad</w:t>
      </w:r>
    </w:p>
    <w:p w:rsidR="00512F5E" w:rsidRDefault="00512F5E" w:rsidP="00512F5E">
      <w:r>
        <w:t>CONAPO</w:t>
      </w:r>
      <w:r>
        <w:tab/>
      </w:r>
      <w:r>
        <w:tab/>
        <w:t>Consejo Nacional de Población</w:t>
      </w:r>
    </w:p>
    <w:p w:rsidR="0020772C" w:rsidRDefault="0020772C" w:rsidP="00512F5E">
      <w:r>
        <w:t>CONAZA</w:t>
      </w:r>
      <w:r>
        <w:tab/>
      </w:r>
      <w:r>
        <w:tab/>
        <w:t>Comisión Nacional de Zonas Áridas</w:t>
      </w:r>
    </w:p>
    <w:p w:rsidR="00512F5E" w:rsidRDefault="00512F5E" w:rsidP="00512F5E">
      <w:r>
        <w:t>COTAS</w:t>
      </w:r>
      <w:r>
        <w:tab/>
      </w:r>
      <w:r>
        <w:tab/>
        <w:t>Comit</w:t>
      </w:r>
      <w:r w:rsidR="00753B4F">
        <w:t>é Técnico de Aguas Subterráneas</w:t>
      </w:r>
    </w:p>
    <w:p w:rsidR="00512F5E" w:rsidRDefault="00512F5E" w:rsidP="00512F5E">
      <w:r>
        <w:t xml:space="preserve">DOF </w:t>
      </w:r>
      <w:r>
        <w:tab/>
      </w:r>
      <w:r>
        <w:tab/>
      </w:r>
      <w:r w:rsidR="00753B4F">
        <w:t>Diario Oficial de la Federación</w:t>
      </w:r>
    </w:p>
    <w:p w:rsidR="00512F5E" w:rsidRDefault="00512F5E" w:rsidP="00512F5E">
      <w:r>
        <w:t>GIRH</w:t>
      </w:r>
      <w:r>
        <w:tab/>
      </w:r>
      <w:r>
        <w:tab/>
        <w:t>Gestió</w:t>
      </w:r>
      <w:r w:rsidR="000D6865">
        <w:t>n Integrada del R</w:t>
      </w:r>
      <w:r w:rsidR="00753B4F">
        <w:t xml:space="preserve">ecurso </w:t>
      </w:r>
      <w:r w:rsidR="000D6865">
        <w:t>H</w:t>
      </w:r>
      <w:r w:rsidR="00753B4F">
        <w:t>ídrico</w:t>
      </w:r>
    </w:p>
    <w:p w:rsidR="00592345" w:rsidRDefault="00592345" w:rsidP="00512F5E">
      <w:r>
        <w:t>HLOP</w:t>
      </w:r>
      <w:r>
        <w:tab/>
      </w:r>
      <w:r>
        <w:tab/>
        <w:t>Acuífero Huamantla-Libres Oriental-Perote</w:t>
      </w:r>
    </w:p>
    <w:p w:rsidR="00512F5E" w:rsidRDefault="00512F5E" w:rsidP="00512F5E">
      <w:r>
        <w:t xml:space="preserve">INEGI </w:t>
      </w:r>
      <w:r>
        <w:tab/>
      </w:r>
      <w:r>
        <w:tab/>
        <w:t>Instituto Nacional de Estad</w:t>
      </w:r>
      <w:r w:rsidR="00753B4F">
        <w:t>ística</w:t>
      </w:r>
      <w:r w:rsidR="00F3534D">
        <w:t xml:space="preserve"> y</w:t>
      </w:r>
      <w:r w:rsidR="00753B4F">
        <w:t xml:space="preserve"> Geografía </w:t>
      </w:r>
    </w:p>
    <w:p w:rsidR="00512F5E" w:rsidRDefault="00512F5E" w:rsidP="00512F5E">
      <w:r>
        <w:t xml:space="preserve">LAN </w:t>
      </w:r>
      <w:r>
        <w:tab/>
      </w:r>
      <w:r>
        <w:tab/>
      </w:r>
      <w:r w:rsidR="00753B4F">
        <w:t>Ley de Aguas Nacionales</w:t>
      </w:r>
    </w:p>
    <w:p w:rsidR="00512F5E" w:rsidRDefault="00512F5E" w:rsidP="00512F5E">
      <w:r>
        <w:t xml:space="preserve">NOM </w:t>
      </w:r>
      <w:r>
        <w:tab/>
      </w:r>
      <w:r>
        <w:tab/>
      </w:r>
      <w:r w:rsidR="00753B4F">
        <w:t>Norma Oficial Mexicana</w:t>
      </w:r>
    </w:p>
    <w:p w:rsidR="0020772C" w:rsidRDefault="0020772C" w:rsidP="00512F5E">
      <w:r>
        <w:t>PACC</w:t>
      </w:r>
      <w:r>
        <w:tab/>
      </w:r>
      <w:r>
        <w:tab/>
        <w:t>Programa de Atención a Contingencias Climatológicas</w:t>
      </w:r>
    </w:p>
    <w:p w:rsidR="00512F5E" w:rsidRDefault="00512F5E" w:rsidP="00512F5E">
      <w:r>
        <w:t xml:space="preserve">PIB </w:t>
      </w:r>
      <w:r>
        <w:tab/>
      </w:r>
      <w:r>
        <w:tab/>
      </w:r>
      <w:r>
        <w:tab/>
        <w:t>Producto I</w:t>
      </w:r>
      <w:r w:rsidR="00753B4F">
        <w:t>nterno Bruto</w:t>
      </w:r>
    </w:p>
    <w:p w:rsidR="00512F5E" w:rsidRDefault="00753B4F" w:rsidP="00512F5E">
      <w:r>
        <w:t xml:space="preserve">PND </w:t>
      </w:r>
      <w:r>
        <w:tab/>
      </w:r>
      <w:r>
        <w:tab/>
        <w:t>Plan Nacional de Desarrollo 2007</w:t>
      </w:r>
      <w:r w:rsidR="00512F5E">
        <w:t>-20</w:t>
      </w:r>
      <w:r>
        <w:t>12</w:t>
      </w:r>
    </w:p>
    <w:p w:rsidR="00512F5E" w:rsidRDefault="00753B4F" w:rsidP="00512F5E">
      <w:r>
        <w:t xml:space="preserve">PNH </w:t>
      </w:r>
      <w:r>
        <w:tab/>
      </w:r>
      <w:r>
        <w:tab/>
      </w:r>
      <w:r w:rsidR="00512F5E">
        <w:t xml:space="preserve">Programa Nacional </w:t>
      </w:r>
      <w:r>
        <w:t>Hídrico</w:t>
      </w:r>
      <w:r w:rsidR="00512F5E">
        <w:t xml:space="preserve"> 200</w:t>
      </w:r>
      <w:r>
        <w:t>7-2012</w:t>
      </w:r>
    </w:p>
    <w:p w:rsidR="00512F5E" w:rsidRDefault="00512F5E" w:rsidP="00512F5E">
      <w:r>
        <w:t>P</w:t>
      </w:r>
      <w:r w:rsidR="00753B4F">
        <w:t>SMARC</w:t>
      </w:r>
      <w:r>
        <w:t xml:space="preserve"> </w:t>
      </w:r>
      <w:r>
        <w:tab/>
      </w:r>
      <w:r w:rsidR="00753B4F">
        <w:tab/>
      </w:r>
      <w:r>
        <w:t xml:space="preserve">Programa </w:t>
      </w:r>
      <w:r w:rsidR="00753B4F">
        <w:t>Sectorial de Medio Ambiente y Recursos Naturales</w:t>
      </w:r>
    </w:p>
    <w:p w:rsidR="00512F5E" w:rsidRDefault="00512F5E" w:rsidP="00512F5E">
      <w:r>
        <w:t xml:space="preserve">REPDA </w:t>
      </w:r>
      <w:r>
        <w:tab/>
      </w:r>
      <w:r>
        <w:tab/>
        <w:t>Regis</w:t>
      </w:r>
      <w:r w:rsidR="00753B4F">
        <w:t>tro Público de Derechos de Agua</w:t>
      </w:r>
    </w:p>
    <w:p w:rsidR="00512F5E" w:rsidRDefault="00512F5E" w:rsidP="00512F5E">
      <w:r>
        <w:t xml:space="preserve">SAGARPA </w:t>
      </w:r>
      <w:r>
        <w:tab/>
      </w:r>
      <w:r w:rsidR="00753B4F">
        <w:tab/>
      </w:r>
      <w:r>
        <w:t>Secretaría de Agricultura, Ganadería, Desarro</w:t>
      </w:r>
      <w:r w:rsidR="00753B4F">
        <w:t>llo Rural, Pesca y Alimentación</w:t>
      </w:r>
    </w:p>
    <w:p w:rsidR="00512F5E" w:rsidRDefault="00512F5E" w:rsidP="00512F5E">
      <w:r>
        <w:t xml:space="preserve">SEMARNAT </w:t>
      </w:r>
      <w:r>
        <w:tab/>
        <w:t>Secretaría de Medio Ambiente y Recu</w:t>
      </w:r>
      <w:r w:rsidR="00753B4F">
        <w:t>rsos Naturales</w:t>
      </w:r>
    </w:p>
    <w:p w:rsidR="007C733D" w:rsidRDefault="007C733D" w:rsidP="004E4325">
      <w:pPr>
        <w:ind w:firstLine="0"/>
        <w:rPr>
          <w:rFonts w:ascii="Presidencia Fuerte Versalitas" w:hAnsi="Presidencia Fuerte Versalitas"/>
          <w:color w:val="365F91"/>
          <w:sz w:val="32"/>
          <w:szCs w:val="32"/>
        </w:rPr>
      </w:pPr>
    </w:p>
    <w:p w:rsidR="0020772C" w:rsidRDefault="0020772C" w:rsidP="004E4325">
      <w:pPr>
        <w:ind w:firstLine="0"/>
        <w:rPr>
          <w:rFonts w:ascii="Presidencia Fuerte Versalitas" w:hAnsi="Presidencia Fuerte Versalitas"/>
          <w:color w:val="365F91"/>
          <w:sz w:val="32"/>
          <w:szCs w:val="32"/>
        </w:rPr>
      </w:pPr>
    </w:p>
    <w:p w:rsidR="0020772C" w:rsidRDefault="0020772C" w:rsidP="004E4325">
      <w:pPr>
        <w:ind w:firstLine="0"/>
        <w:rPr>
          <w:rFonts w:ascii="Presidencia Fuerte Versalitas" w:hAnsi="Presidencia Fuerte Versalitas"/>
          <w:color w:val="365F91"/>
          <w:sz w:val="32"/>
          <w:szCs w:val="32"/>
        </w:rPr>
      </w:pPr>
    </w:p>
    <w:p w:rsidR="00106565" w:rsidRDefault="00106565" w:rsidP="00106565"/>
    <w:p w:rsidR="003D6784" w:rsidRPr="00E469A5" w:rsidRDefault="003D6784" w:rsidP="008011C2">
      <w:pPr>
        <w:pStyle w:val="PORTADA"/>
        <w:outlineLvl w:val="0"/>
      </w:pPr>
      <w:r w:rsidRPr="00E469A5">
        <w:t>DIRECTORIO</w:t>
      </w:r>
    </w:p>
    <w:p w:rsidR="007C733D" w:rsidRDefault="007C733D" w:rsidP="00AA3A9A">
      <w:pPr>
        <w:rPr>
          <w:b/>
        </w:rPr>
      </w:pPr>
    </w:p>
    <w:p w:rsidR="00AA3A9A" w:rsidRPr="002B498C" w:rsidRDefault="00AA3A9A" w:rsidP="008011C2">
      <w:pPr>
        <w:outlineLvl w:val="0"/>
        <w:rPr>
          <w:b/>
        </w:rPr>
      </w:pPr>
      <w:r w:rsidRPr="002B498C">
        <w:rPr>
          <w:b/>
        </w:rPr>
        <w:t>JOSÉ LUIS LUEGE TAMARGO</w:t>
      </w:r>
    </w:p>
    <w:p w:rsidR="00AA3A9A" w:rsidRDefault="00AA3A9A" w:rsidP="008011C2">
      <w:pPr>
        <w:outlineLvl w:val="0"/>
      </w:pPr>
      <w:r>
        <w:t>Director General</w:t>
      </w:r>
    </w:p>
    <w:p w:rsidR="00AA3A9A" w:rsidRDefault="00AA3A9A" w:rsidP="00AA3A9A"/>
    <w:p w:rsidR="00AA3A9A" w:rsidRPr="002B498C" w:rsidRDefault="00AA3A9A" w:rsidP="008011C2">
      <w:pPr>
        <w:outlineLvl w:val="0"/>
        <w:rPr>
          <w:b/>
        </w:rPr>
      </w:pPr>
      <w:r w:rsidRPr="002B498C">
        <w:rPr>
          <w:b/>
        </w:rPr>
        <w:t>JUAN CARLOS VALENCIA VARGAS</w:t>
      </w:r>
    </w:p>
    <w:p w:rsidR="00AA3A9A" w:rsidRDefault="00AA3A9A" w:rsidP="008011C2">
      <w:pPr>
        <w:outlineLvl w:val="0"/>
      </w:pPr>
      <w:r>
        <w:t>Director General del Organismo de Cuenca Balsas</w:t>
      </w:r>
    </w:p>
    <w:p w:rsidR="00AA3A9A" w:rsidRDefault="00AA3A9A" w:rsidP="00AA3A9A"/>
    <w:p w:rsidR="00AA3A9A" w:rsidRPr="002B498C" w:rsidRDefault="002B498C" w:rsidP="008011C2">
      <w:pPr>
        <w:outlineLvl w:val="0"/>
        <w:rPr>
          <w:b/>
        </w:rPr>
      </w:pPr>
      <w:r>
        <w:rPr>
          <w:b/>
        </w:rPr>
        <w:t>VICTOR MANUEL ESPARZA PEREZ</w:t>
      </w:r>
    </w:p>
    <w:p w:rsidR="002B498C" w:rsidRDefault="002B498C" w:rsidP="008011C2">
      <w:pPr>
        <w:outlineLvl w:val="0"/>
      </w:pPr>
      <w:r>
        <w:t>Director General del Organismo de Cuenca Golfo Centro</w:t>
      </w:r>
    </w:p>
    <w:p w:rsidR="002B498C" w:rsidRDefault="002B498C" w:rsidP="002B498C"/>
    <w:p w:rsidR="002B498C" w:rsidRPr="007C733D" w:rsidRDefault="002B498C" w:rsidP="008011C2">
      <w:pPr>
        <w:outlineLvl w:val="0"/>
        <w:rPr>
          <w:b/>
        </w:rPr>
      </w:pPr>
      <w:r w:rsidRPr="007C733D">
        <w:rPr>
          <w:b/>
        </w:rPr>
        <w:t>MANU</w:t>
      </w:r>
      <w:r w:rsidR="003A51A2">
        <w:rPr>
          <w:b/>
        </w:rPr>
        <w:t>E</w:t>
      </w:r>
      <w:r w:rsidRPr="007C733D">
        <w:rPr>
          <w:b/>
        </w:rPr>
        <w:t>L BERISTAIN GÓMEZ</w:t>
      </w:r>
    </w:p>
    <w:p w:rsidR="002B498C" w:rsidRDefault="007C733D" w:rsidP="008011C2">
      <w:pPr>
        <w:outlineLvl w:val="0"/>
      </w:pPr>
      <w:r>
        <w:t>Director Local de la Comisión Nacional del Agua en el Estado de Puebla</w:t>
      </w:r>
    </w:p>
    <w:p w:rsidR="007C733D" w:rsidRDefault="007C733D" w:rsidP="002B498C"/>
    <w:p w:rsidR="002B498C" w:rsidRPr="007C733D" w:rsidRDefault="002B498C" w:rsidP="008011C2">
      <w:pPr>
        <w:outlineLvl w:val="0"/>
        <w:rPr>
          <w:b/>
        </w:rPr>
      </w:pPr>
      <w:r w:rsidRPr="007C733D">
        <w:rPr>
          <w:b/>
        </w:rPr>
        <w:t>CARLOS MORALES BADILLO</w:t>
      </w:r>
    </w:p>
    <w:p w:rsidR="007C733D" w:rsidRDefault="007C733D" w:rsidP="008011C2">
      <w:pPr>
        <w:outlineLvl w:val="0"/>
      </w:pPr>
      <w:r>
        <w:t>Director Local de la Comisión Nacional del Agua en el Estado de Tlaxcala</w:t>
      </w:r>
    </w:p>
    <w:p w:rsidR="002B498C" w:rsidRDefault="002B498C" w:rsidP="002B498C"/>
    <w:p w:rsidR="002B498C" w:rsidRDefault="002B498C" w:rsidP="008011C2">
      <w:pPr>
        <w:jc w:val="center"/>
        <w:outlineLvl w:val="0"/>
      </w:pPr>
      <w:r>
        <w:t>La Comisión Nacional del Agua contrató la elaboración de este estudio con la empresa:</w:t>
      </w:r>
    </w:p>
    <w:p w:rsidR="002B498C" w:rsidRDefault="002B498C" w:rsidP="002B498C"/>
    <w:p w:rsidR="002B498C" w:rsidRPr="004E4325" w:rsidRDefault="002B498C" w:rsidP="008011C2">
      <w:pPr>
        <w:jc w:val="center"/>
        <w:outlineLvl w:val="0"/>
        <w:rPr>
          <w:b/>
        </w:rPr>
      </w:pPr>
      <w:r w:rsidRPr="004E4325">
        <w:rPr>
          <w:b/>
        </w:rPr>
        <w:t>INGENIERÍA Y GESTIÓN HÍDRICA S.C.</w:t>
      </w:r>
    </w:p>
    <w:p w:rsidR="002B498C" w:rsidRPr="007B2B6D" w:rsidRDefault="002B498C" w:rsidP="002B498C">
      <w:pPr>
        <w:jc w:val="center"/>
      </w:pPr>
      <w:r>
        <w:t xml:space="preserve">Según contrato No. </w:t>
      </w:r>
      <w:r w:rsidRPr="007B2B6D">
        <w:t>SGT-OCB-PUE-09-P-113-RF-I3</w:t>
      </w:r>
    </w:p>
    <w:p w:rsidR="002B498C" w:rsidRPr="007B2B6D" w:rsidRDefault="002B498C" w:rsidP="002B498C"/>
    <w:p w:rsidR="002B498C" w:rsidRDefault="002B498C" w:rsidP="002B498C">
      <w:r>
        <w:t xml:space="preserve">La coordinación estuvo a cargo de la </w:t>
      </w:r>
      <w:r w:rsidR="00F3534D">
        <w:t xml:space="preserve">Dirección </w:t>
      </w:r>
      <w:r>
        <w:t xml:space="preserve">Técnica </w:t>
      </w:r>
      <w:r w:rsidR="00F3534D">
        <w:t xml:space="preserve">del Organismo de Cuenca Balsas </w:t>
      </w:r>
      <w:r>
        <w:t xml:space="preserve">a través de la </w:t>
      </w:r>
      <w:r w:rsidR="00F3534D">
        <w:t xml:space="preserve">Subdirección </w:t>
      </w:r>
      <w:r>
        <w:t>de Aguas Subterráneas</w:t>
      </w:r>
      <w:r w:rsidR="00224866">
        <w:t>.</w:t>
      </w:r>
    </w:p>
    <w:p w:rsidR="002B498C" w:rsidRDefault="002B498C" w:rsidP="002B498C"/>
    <w:p w:rsidR="002B498C" w:rsidRDefault="00224866" w:rsidP="008011C2">
      <w:pPr>
        <w:jc w:val="center"/>
        <w:outlineLvl w:val="0"/>
      </w:pPr>
      <w:r>
        <w:t>Supervisión por parte del Organismo de Cuenca Balsas:</w:t>
      </w:r>
    </w:p>
    <w:p w:rsidR="004E4325" w:rsidRDefault="004E4325" w:rsidP="004E4325">
      <w:pPr>
        <w:jc w:val="center"/>
        <w:rPr>
          <w:b/>
        </w:rPr>
      </w:pPr>
    </w:p>
    <w:p w:rsidR="004E4325" w:rsidRPr="004E4325" w:rsidRDefault="004E4325" w:rsidP="00106565">
      <w:pPr>
        <w:spacing w:after="60" w:line="240" w:lineRule="auto"/>
        <w:jc w:val="center"/>
        <w:outlineLvl w:val="0"/>
        <w:rPr>
          <w:b/>
        </w:rPr>
      </w:pPr>
      <w:r w:rsidRPr="004E4325">
        <w:rPr>
          <w:b/>
        </w:rPr>
        <w:t>ING. HUGO PARRA TABLA</w:t>
      </w:r>
    </w:p>
    <w:p w:rsidR="00224866" w:rsidRDefault="004E4325" w:rsidP="00106565">
      <w:pPr>
        <w:spacing w:after="60" w:line="240" w:lineRule="auto"/>
        <w:jc w:val="center"/>
        <w:rPr>
          <w:b/>
        </w:rPr>
      </w:pPr>
      <w:r w:rsidRPr="004E4325">
        <w:rPr>
          <w:b/>
        </w:rPr>
        <w:t>ING. YOLANDA MORENO HERNÁNDEZ</w:t>
      </w:r>
    </w:p>
    <w:p w:rsidR="003D6784" w:rsidRPr="004E4325" w:rsidRDefault="004E4325" w:rsidP="00106565">
      <w:pPr>
        <w:spacing w:after="60" w:line="240" w:lineRule="auto"/>
        <w:jc w:val="center"/>
        <w:rPr>
          <w:b/>
        </w:rPr>
      </w:pPr>
      <w:r w:rsidRPr="004E4325">
        <w:rPr>
          <w:b/>
        </w:rPr>
        <w:t>ING. DELIA GONZÁLEZ ROJAS</w:t>
      </w:r>
    </w:p>
    <w:p w:rsidR="002B498C" w:rsidRDefault="002B498C" w:rsidP="003D6784"/>
    <w:p w:rsidR="003D6784" w:rsidRPr="00E469A5" w:rsidRDefault="003D6784" w:rsidP="008011C2">
      <w:pPr>
        <w:pStyle w:val="PORTADA"/>
        <w:outlineLvl w:val="0"/>
      </w:pPr>
      <w:r w:rsidRPr="00E469A5">
        <w:t>RESUMEN EJECTUVO</w:t>
      </w:r>
    </w:p>
    <w:p w:rsidR="00C1683A" w:rsidRPr="00D0789F" w:rsidRDefault="00C1683A" w:rsidP="008011C2">
      <w:pPr>
        <w:outlineLvl w:val="0"/>
        <w:rPr>
          <w:b/>
          <w:smallCaps/>
          <w:color w:val="FF0000"/>
          <w:sz w:val="24"/>
          <w:szCs w:val="24"/>
        </w:rPr>
      </w:pPr>
      <w:r w:rsidRPr="00D0789F">
        <w:rPr>
          <w:rFonts w:ascii="Arial Rounded MT Bold" w:hAnsi="Arial Rounded MT Bold"/>
          <w:smallCaps/>
          <w:sz w:val="24"/>
          <w:szCs w:val="24"/>
        </w:rPr>
        <w:t>Antecedentes</w:t>
      </w:r>
      <w:r w:rsidR="005E6F69" w:rsidRPr="00D0789F">
        <w:rPr>
          <w:smallCaps/>
          <w:sz w:val="24"/>
          <w:szCs w:val="24"/>
        </w:rPr>
        <w:t xml:space="preserve">   </w:t>
      </w:r>
    </w:p>
    <w:p w:rsidR="00763CDF" w:rsidRDefault="00763CDF" w:rsidP="00763CDF">
      <w:r w:rsidRPr="001D5022">
        <w:t xml:space="preserve">Desde </w:t>
      </w:r>
      <w:r>
        <w:t>de la década de los años cincuenta</w:t>
      </w:r>
      <w:r w:rsidRPr="001D5022">
        <w:t xml:space="preserve">, </w:t>
      </w:r>
      <w:r>
        <w:t xml:space="preserve">el acuífero </w:t>
      </w:r>
      <w:r w:rsidR="00146E87">
        <w:t xml:space="preserve">Huamantla–Libres Oriental–Perote Zalayeta (HLOP) </w:t>
      </w:r>
      <w:r>
        <w:t xml:space="preserve">ha sido estudiado </w:t>
      </w:r>
      <w:proofErr w:type="spellStart"/>
      <w:r>
        <w:t>geohidrológicamente</w:t>
      </w:r>
      <w:proofErr w:type="spellEnd"/>
      <w:r>
        <w:t xml:space="preserve">, principalmente para suministro de agua ha regiones como la Ciudad de México y Ciudad de Puebla (CHCVM, Proyecto Moctezuma, Programa de Desarrollo Regional </w:t>
      </w:r>
      <w:proofErr w:type="spellStart"/>
      <w:r>
        <w:t>Angelópolis</w:t>
      </w:r>
      <w:proofErr w:type="spellEnd"/>
      <w:r>
        <w:t>). Ninguno de estos proyectos ha sido concretado a la fecha.</w:t>
      </w:r>
    </w:p>
    <w:p w:rsidR="001110A5" w:rsidRDefault="001110A5" w:rsidP="001110A5">
      <w:r>
        <w:t>P</w:t>
      </w:r>
      <w:r w:rsidR="00763CDF">
        <w:t xml:space="preserve">resenta una configuración hidrológica superficial prácticamente nula </w:t>
      </w:r>
      <w:r>
        <w:t xml:space="preserve">con </w:t>
      </w:r>
      <w:r w:rsidR="00763CDF">
        <w:t xml:space="preserve">fuertes tasas de evaporación, por lo que el </w:t>
      </w:r>
      <w:proofErr w:type="spellStart"/>
      <w:r w:rsidR="00763CDF">
        <w:t>sobreaprovechamiento</w:t>
      </w:r>
      <w:proofErr w:type="spellEnd"/>
      <w:r w:rsidR="00763CDF">
        <w:t xml:space="preserve"> de aguas subterráneas y </w:t>
      </w:r>
      <w:r w:rsidR="00146E87">
        <w:t xml:space="preserve">la alteración de las  </w:t>
      </w:r>
      <w:r w:rsidR="00763CDF">
        <w:t xml:space="preserve">salidas geohidrológicas naturales, provoca </w:t>
      </w:r>
      <w:r>
        <w:t xml:space="preserve">la </w:t>
      </w:r>
      <w:r w:rsidR="00763CDF">
        <w:t xml:space="preserve">disminución del nivel freático y </w:t>
      </w:r>
      <w:r>
        <w:t xml:space="preserve">la </w:t>
      </w:r>
      <w:r w:rsidR="00763CDF">
        <w:t>paulatina desaparición de las lagunas de El Carmen y El Salado.</w:t>
      </w:r>
      <w:r w:rsidR="00343B7A">
        <w:t xml:space="preserve"> </w:t>
      </w:r>
      <w:r>
        <w:t xml:space="preserve">La recarga natural </w:t>
      </w:r>
      <w:r w:rsidR="00146E87">
        <w:t>es originada, principalmente de</w:t>
      </w:r>
      <w:r w:rsidR="00343B7A">
        <w:t>sde</w:t>
      </w:r>
      <w:r w:rsidR="00146E87">
        <w:t xml:space="preserve">: Volcán </w:t>
      </w:r>
      <w:r>
        <w:t xml:space="preserve">La Malinche, y sierras de </w:t>
      </w:r>
      <w:proofErr w:type="spellStart"/>
      <w:r>
        <w:t>Citlaltepetl</w:t>
      </w:r>
      <w:proofErr w:type="spellEnd"/>
      <w:r>
        <w:t xml:space="preserve"> y Perote.</w:t>
      </w:r>
    </w:p>
    <w:p w:rsidR="001110A5" w:rsidRDefault="001110A5" w:rsidP="001110A5">
      <w:r>
        <w:t xml:space="preserve">Es probable que la creciente extracción de agua, al provocar el abatimiento de la superficie freática en las áreas lacustres, </w:t>
      </w:r>
      <w:r w:rsidR="00343B7A">
        <w:t>este</w:t>
      </w:r>
      <w:r>
        <w:t xml:space="preserve"> inducido una infiltración estacional significativa en el lecho de los lag</w:t>
      </w:r>
      <w:r w:rsidR="00343B7A">
        <w:t>os,</w:t>
      </w:r>
      <w:r>
        <w:t xml:space="preserve"> propiciado la infiltración directa de la lluvia, en áreas que originalmente no eran receptoras de recarga. </w:t>
      </w:r>
    </w:p>
    <w:p w:rsidR="00C1683A" w:rsidRPr="00D0789F" w:rsidRDefault="00C1683A"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Usos del agua</w:t>
      </w:r>
      <w:r w:rsidR="005E6F69" w:rsidRPr="00D0789F">
        <w:rPr>
          <w:rFonts w:ascii="Arial Rounded MT Bold" w:hAnsi="Arial Rounded MT Bold"/>
          <w:smallCaps/>
          <w:sz w:val="24"/>
          <w:szCs w:val="24"/>
        </w:rPr>
        <w:t xml:space="preserve"> </w:t>
      </w:r>
    </w:p>
    <w:p w:rsidR="009A75C8" w:rsidRDefault="00AB28D8" w:rsidP="00AB28D8">
      <w:r w:rsidRPr="0055340B">
        <w:t>Actualmente el REPDA tiene registradas en la zona de estudio 1,826 aprovechamientos, de los cuales 1,442 son subterráneos y 348 superficiales (70% y 21%, respectivamente). De los primeros, 1,128 son de uso agrícola, mientras que de los superficiales, 344 son de uso público-urbano. El volumen total concesionado es de 292.6 millones de metros cúbicos.</w:t>
      </w:r>
      <w:r w:rsidR="00B411AC">
        <w:t xml:space="preserve"> </w:t>
      </w:r>
      <w:r w:rsidR="00343B7A">
        <w:t>E</w:t>
      </w:r>
      <w:r w:rsidR="009A75C8" w:rsidRPr="00BD2915">
        <w:t>l volumen reportado en el REPDA no</w:t>
      </w:r>
      <w:r w:rsidR="00343B7A">
        <w:t xml:space="preserve"> se ajusta a la extracción real. E</w:t>
      </w:r>
      <w:r w:rsidR="009A75C8">
        <w:t xml:space="preserve">l </w:t>
      </w:r>
      <w:r w:rsidR="009A75C8" w:rsidRPr="00BD2915">
        <w:t xml:space="preserve">uso agrícola utiliza 269.5 hm³/año, 52 hm³/año </w:t>
      </w:r>
      <w:r w:rsidR="00343B7A">
        <w:t xml:space="preserve">más </w:t>
      </w:r>
      <w:r w:rsidR="009A75C8" w:rsidRPr="00BD2915">
        <w:t xml:space="preserve">con respecto al </w:t>
      </w:r>
      <w:r w:rsidR="00343B7A">
        <w:t>registrado administrativamente</w:t>
      </w:r>
      <w:r w:rsidR="009A75C8">
        <w:t xml:space="preserve"> (</w:t>
      </w:r>
      <w:r w:rsidR="009A75C8" w:rsidRPr="00BD2915">
        <w:t>217.7 hm³/año</w:t>
      </w:r>
      <w:r w:rsidR="009A75C8">
        <w:t>)</w:t>
      </w:r>
      <w:r w:rsidR="009A75C8" w:rsidRPr="00BD2915">
        <w:t xml:space="preserve">. </w:t>
      </w:r>
    </w:p>
    <w:p w:rsidR="009A75C8" w:rsidRDefault="009A75C8" w:rsidP="009A75C8">
      <w:r w:rsidRPr="00BD2915">
        <w:t xml:space="preserve">El volumen extraído y estimado para los diferentes usos suma un total de 314.8 hm³/año, siendo el uso agrícola el que acapara el mayor porcentaje </w:t>
      </w:r>
      <w:r>
        <w:t>(</w:t>
      </w:r>
      <w:r w:rsidRPr="00BD2915">
        <w:t>85.6%</w:t>
      </w:r>
      <w:r>
        <w:t>) y</w:t>
      </w:r>
      <w:r w:rsidRPr="00BD2915">
        <w:t xml:space="preserve"> público urbano </w:t>
      </w:r>
      <w:r>
        <w:t>(</w:t>
      </w:r>
      <w:r w:rsidRPr="00BD2915">
        <w:t>13.6%</w:t>
      </w:r>
      <w:r>
        <w:t>). P</w:t>
      </w:r>
      <w:r w:rsidRPr="00BD2915">
        <w:t>or acuíferos, Libres – Oriental estaría extrayendo dentro de sus límites geográficos el 75% del total, en lugar del 69% que reporta el REPDA; el acuífero de Huamantla extrae el 19% del total y el de Perote-</w:t>
      </w:r>
      <w:r w:rsidR="00106565">
        <w:t>Zalayeta</w:t>
      </w:r>
      <w:r w:rsidRPr="00BD2915">
        <w:t xml:space="preserve"> el restante 7%.</w:t>
      </w:r>
    </w:p>
    <w:p w:rsidR="00C1683A" w:rsidRPr="00D0789F" w:rsidRDefault="00C1683A"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Piezometría</w:t>
      </w:r>
      <w:r w:rsidR="005E6F69" w:rsidRPr="00D0789F">
        <w:rPr>
          <w:rFonts w:ascii="Arial Rounded MT Bold" w:hAnsi="Arial Rounded MT Bold"/>
          <w:smallCaps/>
          <w:sz w:val="24"/>
          <w:szCs w:val="24"/>
        </w:rPr>
        <w:t xml:space="preserve">  </w:t>
      </w:r>
    </w:p>
    <w:p w:rsidR="003D6C22" w:rsidRDefault="003D6C22" w:rsidP="003D6C22">
      <w:r w:rsidRPr="00BD2915">
        <w:t>Se construyeron 45 hidrógrafos de niveles estáticos con la inf</w:t>
      </w:r>
      <w:r>
        <w:t>ormación histórica recopilada</w:t>
      </w:r>
      <w:r w:rsidRPr="00BD2915">
        <w:t xml:space="preserve">; se aprecia que la tendencia general </w:t>
      </w:r>
      <w:r w:rsidR="00C1683A">
        <w:t>es hacia el abatimiento</w:t>
      </w:r>
      <w:r w:rsidRPr="00BD2915">
        <w:t xml:space="preserve">. </w:t>
      </w:r>
    </w:p>
    <w:p w:rsidR="003D6C22" w:rsidRDefault="003D6C22" w:rsidP="003D6C22">
      <w:r w:rsidRPr="00BD2915">
        <w:t>Se configuró la evolución del nivel estático para el periodo 1996-2008</w:t>
      </w:r>
      <w:r>
        <w:t xml:space="preserve">. </w:t>
      </w:r>
      <w:r w:rsidRPr="00BD2915">
        <w:t>Los resultados indican que la zona con abatimientos más críticos se loc</w:t>
      </w:r>
      <w:r w:rsidR="00C1683A">
        <w:t xml:space="preserve">alizan en la porción centro-sur, </w:t>
      </w:r>
      <w:r w:rsidRPr="00BD2915">
        <w:t>entre el cerro El Brujo y Las Derrumbadas,</w:t>
      </w:r>
      <w:r w:rsidR="00C1683A">
        <w:t xml:space="preserve"> que junto </w:t>
      </w:r>
      <w:r w:rsidRPr="00BD2915">
        <w:t>con la Ciudad Libres</w:t>
      </w:r>
      <w:r w:rsidR="008F5AF9">
        <w:t>,</w:t>
      </w:r>
      <w:r w:rsidRPr="00BD2915">
        <w:t xml:space="preserve"> presentan los mayores abatimientos</w:t>
      </w:r>
      <w:r w:rsidR="00C1683A">
        <w:t xml:space="preserve"> del nivel estático, siendo esto</w:t>
      </w:r>
      <w:r w:rsidRPr="00BD2915">
        <w:t>s de 0.50 a 0.90 m/año.</w:t>
      </w:r>
      <w:r>
        <w:t xml:space="preserve"> </w:t>
      </w:r>
      <w:r w:rsidRPr="00BD2915">
        <w:t>En general</w:t>
      </w:r>
      <w:r>
        <w:t>,</w:t>
      </w:r>
      <w:r w:rsidRPr="00BD2915">
        <w:t xml:space="preserve"> toda la zona con información piezométrica resultó con evoluciones negativas, siendo el abatimiento medio ponderad</w:t>
      </w:r>
      <w:r w:rsidR="00C1683A">
        <w:t>o</w:t>
      </w:r>
      <w:r w:rsidRPr="00BD2915">
        <w:t xml:space="preserve"> </w:t>
      </w:r>
      <w:r w:rsidR="00C1683A">
        <w:t xml:space="preserve">regional </w:t>
      </w:r>
      <w:r w:rsidRPr="00BD2915">
        <w:t xml:space="preserve"> </w:t>
      </w:r>
      <w:r w:rsidRPr="00BD2915">
        <w:lastRenderedPageBreak/>
        <w:t>zona de 0.37 m/año</w:t>
      </w:r>
      <w:r w:rsidR="008F5AF9">
        <w:t>;</w:t>
      </w:r>
      <w:r w:rsidRPr="00BD2915">
        <w:t xml:space="preserve"> de 0.345 m/año </w:t>
      </w:r>
      <w:r>
        <w:t xml:space="preserve">para Huamantla; </w:t>
      </w:r>
      <w:r w:rsidRPr="00BD2915">
        <w:t xml:space="preserve"> de 0.321 m/año en Libres – Oriental</w:t>
      </w:r>
      <w:r>
        <w:t>,</w:t>
      </w:r>
      <w:r w:rsidRPr="00BD2915">
        <w:t xml:space="preserve"> y de 0.227 m/año en Perote-</w:t>
      </w:r>
      <w:r w:rsidR="00106565">
        <w:t>Zalayeta</w:t>
      </w:r>
      <w:r w:rsidRPr="00BD2915">
        <w:t>.</w:t>
      </w:r>
    </w:p>
    <w:p w:rsidR="00C1683A" w:rsidRPr="00D0789F" w:rsidRDefault="00C1683A"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Calidad de agua subterránea</w:t>
      </w:r>
      <w:r w:rsidR="005E6F69" w:rsidRPr="00D0789F">
        <w:rPr>
          <w:rFonts w:ascii="Arial Rounded MT Bold" w:hAnsi="Arial Rounded MT Bold"/>
          <w:smallCaps/>
          <w:sz w:val="24"/>
          <w:szCs w:val="24"/>
        </w:rPr>
        <w:t xml:space="preserve">  </w:t>
      </w:r>
    </w:p>
    <w:p w:rsidR="00BD2E04" w:rsidRDefault="00C1683A" w:rsidP="00BD2E04">
      <w:r>
        <w:t>L</w:t>
      </w:r>
      <w:r w:rsidR="00BD2E04">
        <w:t xml:space="preserve">a salinidad del agua es baja, pero aumenta hacia las depresiones centrales, -áreas lacustres de El Carmen y </w:t>
      </w:r>
      <w:proofErr w:type="spellStart"/>
      <w:r w:rsidR="00BD2E04">
        <w:t>Tepeyehualco</w:t>
      </w:r>
      <w:proofErr w:type="spellEnd"/>
      <w:r w:rsidR="00BD2E04">
        <w:t>-, donde alcanza valores de 1,000 ppm, a causa de la presencia de depósitos salinos producto de la evaporación. En las mismas áreas, el agua subterránea contiene Boro y otros elementos químicos disueltos, en concentraciones superiores a las normas respectivas.</w:t>
      </w:r>
      <w:r w:rsidR="00BD2E04" w:rsidRPr="00BD2E04">
        <w:t xml:space="preserve"> </w:t>
      </w:r>
      <w:r w:rsidR="008F5AF9">
        <w:t>El tipo más común de agua es</w:t>
      </w:r>
      <w:r w:rsidR="00BD2E04">
        <w:t xml:space="preserve"> mixta carbonatada y sulfatada-mixta</w:t>
      </w:r>
    </w:p>
    <w:p w:rsidR="00BD2E04" w:rsidRPr="00D0789F" w:rsidRDefault="00BD2E04"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Problemática</w:t>
      </w:r>
      <w:r w:rsidR="005E6F69" w:rsidRPr="00D0789F">
        <w:rPr>
          <w:rFonts w:ascii="Arial Rounded MT Bold" w:hAnsi="Arial Rounded MT Bold"/>
          <w:smallCaps/>
          <w:sz w:val="24"/>
          <w:szCs w:val="24"/>
        </w:rPr>
        <w:t xml:space="preserve">  </w:t>
      </w:r>
    </w:p>
    <w:p w:rsidR="008F5AF9" w:rsidRDefault="00C1683A" w:rsidP="00BD2E04">
      <w:r>
        <w:t>E</w:t>
      </w:r>
      <w:r w:rsidR="00BD2E04">
        <w:t xml:space="preserve">xcesivo cambio en los usos de suelo y crecimiento paulatino de extracciones de agua subterránea </w:t>
      </w:r>
      <w:r>
        <w:t>por lo que</w:t>
      </w:r>
      <w:r w:rsidR="00BD2E04">
        <w:t xml:space="preserve"> el acuífero refleja notables cambios, propios de un proceso gradual de desertificación.  Estas condiciones han afectado las características del proceso de recarga </w:t>
      </w:r>
      <w:r w:rsidR="008F5AF9">
        <w:t xml:space="preserve">y descarga </w:t>
      </w:r>
      <w:r w:rsidR="00281B6F">
        <w:t>natural.</w:t>
      </w:r>
      <w:r w:rsidR="00BD2E04">
        <w:t xml:space="preserve"> </w:t>
      </w:r>
    </w:p>
    <w:p w:rsidR="00BD2E04" w:rsidRDefault="00146E87" w:rsidP="00BD2E04">
      <w:r>
        <w:t>L</w:t>
      </w:r>
      <w:r w:rsidR="00BD2E04" w:rsidRPr="00D22070">
        <w:t xml:space="preserve">a sobreexplotación es hasta </w:t>
      </w:r>
      <w:r w:rsidR="00C1683A">
        <w:t xml:space="preserve">ahora es en apariencia moderada, </w:t>
      </w:r>
      <w:r w:rsidR="00BD2E04" w:rsidRPr="00D22070">
        <w:t>no constituye</w:t>
      </w:r>
      <w:r w:rsidR="00C1683A">
        <w:t>ndo</w:t>
      </w:r>
      <w:r w:rsidR="00BD2E04" w:rsidRPr="00D22070">
        <w:t xml:space="preserve"> una amenaza en cantidad para el horizonte </w:t>
      </w:r>
      <w:r w:rsidR="00BD2E04">
        <w:t>de planeación hacia el año 2040; s</w:t>
      </w:r>
      <w:r w:rsidR="00BD2E04" w:rsidRPr="00D22070">
        <w:t>in embargo</w:t>
      </w:r>
      <w:r w:rsidR="00BD2E04">
        <w:t>,</w:t>
      </w:r>
      <w:r w:rsidR="00BD2E04" w:rsidRPr="00D22070">
        <w:t xml:space="preserve"> puede acentuar el abatimiento principalmente en zonas como el acuífero Huamantla, donde se ha observado un descenso más acelerado de los niveles piezométricos.</w:t>
      </w:r>
    </w:p>
    <w:p w:rsidR="00146E87" w:rsidRDefault="00146E87" w:rsidP="00146E87">
      <w:r>
        <w:t>Aún cuando los acuíferos presentan una continuidad hidrogeológica entre sí, la división política estatal ha originado una dificultad para la coordinación interestatal para el manejo integrado de las aguas subterráneas.</w:t>
      </w:r>
    </w:p>
    <w:p w:rsidR="00146E87" w:rsidRDefault="008F5AF9" w:rsidP="00146E87">
      <w:r>
        <w:t>L</w:t>
      </w:r>
      <w:r w:rsidR="00146E87">
        <w:t xml:space="preserve">os volúmenes concesionados en el acuífero Libres-Oriental, exceden considerablemente al volumen de extracción calculada, con lo cual existe una “sobre concesión” que podrían en su caso, dar origen a la sobreexplotación. </w:t>
      </w:r>
    </w:p>
    <w:p w:rsidR="00146E87" w:rsidRDefault="00146E87" w:rsidP="00146E87">
      <w:r>
        <w:t>El Comité Técnico de Aguas Subterráneas</w:t>
      </w:r>
      <w:r w:rsidR="00C1683A">
        <w:t xml:space="preserve"> (COTAS)</w:t>
      </w:r>
      <w:r>
        <w:t>, se encuentra aún en un proceso de gestión y consolidación.  Esto significa que todavía no desempeña las funciones que logrará realizar en el futuro, cuando cuente con mayores recursos humanos, técnicos y económicos.</w:t>
      </w:r>
    </w:p>
    <w:p w:rsidR="00146E87" w:rsidRPr="00D0789F" w:rsidRDefault="00146E87"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Balance Hidrológico</w:t>
      </w:r>
      <w:r w:rsidR="005E6F69" w:rsidRPr="00D0789F">
        <w:rPr>
          <w:rFonts w:ascii="Arial Rounded MT Bold" w:hAnsi="Arial Rounded MT Bold"/>
          <w:smallCaps/>
          <w:sz w:val="24"/>
          <w:szCs w:val="24"/>
        </w:rPr>
        <w:t xml:space="preserve">  </w:t>
      </w:r>
    </w:p>
    <w:p w:rsidR="00BD2E04" w:rsidRDefault="00BD2E04" w:rsidP="00BD2E04">
      <w:pPr>
        <w:rPr>
          <w:rFonts w:cs="Arial"/>
          <w:szCs w:val="22"/>
          <w:lang w:val="es-ES_tradnl"/>
        </w:rPr>
      </w:pPr>
      <w:r>
        <w:t>La</w:t>
      </w:r>
      <w:r w:rsidRPr="00D22070">
        <w:t xml:space="preserve"> </w:t>
      </w:r>
      <w:r w:rsidRPr="008F5AF9">
        <w:t>disponibilidad media anual</w:t>
      </w:r>
      <w:r w:rsidR="008F5AF9">
        <w:t xml:space="preserve">, </w:t>
      </w:r>
      <w:r>
        <w:t>con datos del periodo 1996–</w:t>
      </w:r>
      <w:r w:rsidRPr="00D22070">
        <w:t>2008</w:t>
      </w:r>
      <w:r>
        <w:t>,</w:t>
      </w:r>
      <w:r w:rsidRPr="00D22070">
        <w:t xml:space="preserve"> </w:t>
      </w:r>
      <w:r>
        <w:t xml:space="preserve">resulta contrastante </w:t>
      </w:r>
      <w:r w:rsidRPr="00D22070">
        <w:t>con lo reportado en el Dia</w:t>
      </w:r>
      <w:r w:rsidR="00C1683A">
        <w:t>rio Oficial de la Federación (</w:t>
      </w:r>
      <w:r w:rsidRPr="00D22070">
        <w:t>28 de agosto de 2009</w:t>
      </w:r>
      <w:r w:rsidR="00C1683A">
        <w:t>)</w:t>
      </w:r>
      <w:r w:rsidRPr="00D22070">
        <w:t>.</w:t>
      </w:r>
      <w:r>
        <w:t xml:space="preserve"> </w:t>
      </w:r>
      <w:r>
        <w:rPr>
          <w:rFonts w:cs="Arial"/>
          <w:szCs w:val="22"/>
          <w:lang w:val="es-ES_tradnl"/>
        </w:rPr>
        <w:t xml:space="preserve">Conforme a los resultados, no </w:t>
      </w:r>
      <w:r w:rsidRPr="00D22070">
        <w:rPr>
          <w:rFonts w:cs="Arial"/>
          <w:szCs w:val="22"/>
          <w:lang w:val="es-ES_tradnl"/>
        </w:rPr>
        <w:t>existe volumen disponible para</w:t>
      </w:r>
      <w:r>
        <w:rPr>
          <w:rFonts w:cs="Arial"/>
          <w:szCs w:val="22"/>
          <w:lang w:val="es-ES_tradnl"/>
        </w:rPr>
        <w:t xml:space="preserve"> otorgar nuevas concesiones en los acuíferos Huamantla y Libres-Oriental, mientras que para el acuífero Perote-Zalayeta si existe disponibilidad de aguas subterráneas para nuevas concesiones. </w:t>
      </w:r>
    </w:p>
    <w:p w:rsidR="00AC4667" w:rsidRPr="00D0789F" w:rsidRDefault="00AC4667"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Planeación</w:t>
      </w:r>
      <w:r w:rsidR="005E6F69" w:rsidRPr="00D0789F">
        <w:rPr>
          <w:rFonts w:ascii="Arial Rounded MT Bold" w:hAnsi="Arial Rounded MT Bold"/>
          <w:smallCaps/>
          <w:sz w:val="24"/>
          <w:szCs w:val="24"/>
        </w:rPr>
        <w:t xml:space="preserve">  </w:t>
      </w:r>
    </w:p>
    <w:p w:rsidR="008F5AF9" w:rsidRDefault="00146E87" w:rsidP="00BD2E04">
      <w:r>
        <w:t xml:space="preserve">En términos de </w:t>
      </w:r>
      <w:r w:rsidR="00C1683A">
        <w:t>planeación</w:t>
      </w:r>
      <w:r>
        <w:t>,</w:t>
      </w:r>
      <w:r w:rsidR="00C1683A">
        <w:t xml:space="preserve"> se consideran 8 Objetivos específicos</w:t>
      </w:r>
      <w:r w:rsidR="008F5AF9">
        <w:t xml:space="preserve"> con total correspondencia a los establecidos en el Programa Hídrico Nacional 2007-2012. </w:t>
      </w:r>
    </w:p>
    <w:p w:rsidR="008F5AF9" w:rsidRDefault="008F5AF9" w:rsidP="00BD2E04"/>
    <w:p w:rsidR="00AC4667" w:rsidRPr="00D0789F" w:rsidRDefault="00AC4667"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lastRenderedPageBreak/>
        <w:t>Inversión requerida</w:t>
      </w:r>
      <w:r w:rsidR="005E6F69" w:rsidRPr="00D0789F">
        <w:rPr>
          <w:rFonts w:ascii="Arial Rounded MT Bold" w:hAnsi="Arial Rounded MT Bold"/>
          <w:smallCaps/>
          <w:sz w:val="24"/>
          <w:szCs w:val="24"/>
        </w:rPr>
        <w:t xml:space="preserve">  </w:t>
      </w:r>
    </w:p>
    <w:p w:rsidR="00AB28D8" w:rsidRPr="004F72C4" w:rsidRDefault="00AB28D8" w:rsidP="00AB28D8">
      <w:r w:rsidRPr="004F72C4">
        <w:t>Se establece que el costo total de las inversiones programadas para su ejercicio en un período de 30 años, resulta de 3,196 MDP. En términos porcentuales, el Objetivo 1 relacionado con el sector agrícola es el de mayor peso al alcanzar prácticamente el 39.4% del total. Posteriormente, los Objetivos 2 y 3, (agua potable, alcantarillado y saneamiento, así como el manejo de cuencas, respectivamente), se ubican en el segundo y tercer lugar de inversiones. Estos tres objetivos en su conjunto requieren el 79.79% de las inversiones totales, lo que representa en valores monetarios, 2,550 MDP.</w:t>
      </w:r>
    </w:p>
    <w:p w:rsidR="00AB28D8" w:rsidRPr="004F72C4" w:rsidRDefault="00AB28D8" w:rsidP="00AB28D8">
      <w:r w:rsidRPr="004F72C4">
        <w:t>Las acciones no estructurales (representadas por los Objetivos 4, 5, 6, 7 y 8) los cuales  garantizan la coordinación y cooperación de todos los actores, dado que se presentan como eje toral del cual depende la viabilidad de todos los proyectos.  Su costo económico de implantación es comparablemente menor a los anteriores, 645 MDP (20.20%).</w:t>
      </w:r>
    </w:p>
    <w:p w:rsidR="00AC4667" w:rsidRPr="00D0789F" w:rsidRDefault="00AC4667"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Beneficios e impactos</w:t>
      </w:r>
      <w:r w:rsidR="005E6F69" w:rsidRPr="00D0789F">
        <w:rPr>
          <w:rFonts w:ascii="Arial Rounded MT Bold" w:hAnsi="Arial Rounded MT Bold"/>
          <w:smallCaps/>
          <w:sz w:val="24"/>
          <w:szCs w:val="24"/>
        </w:rPr>
        <w:t xml:space="preserve">  </w:t>
      </w:r>
    </w:p>
    <w:p w:rsidR="00705B49" w:rsidRDefault="00705B49" w:rsidP="00705B49">
      <w:r>
        <w:t>Entre los beneficios e impactos del presente Plan de Manejo, se tiene que: en el ámbito hidrológico, el plan reducirá la sobreexplotación; en términos socioeconómicos, el plan promueve la valoración del agua, la reorientación de subsidios y disminuir los volúmenes de aprovechamiento; en términos ambientales el proyecto propone restablecer el equilibrio hidrológico y así evitar el agotamiento del agua en éste medio, sin omitir la protección de la calidad del agua.</w:t>
      </w:r>
    </w:p>
    <w:p w:rsidR="00AC4667" w:rsidRPr="00D0789F" w:rsidRDefault="00AC4667" w:rsidP="008011C2">
      <w:pPr>
        <w:outlineLvl w:val="0"/>
        <w:rPr>
          <w:rFonts w:ascii="Arial Rounded MT Bold" w:hAnsi="Arial Rounded MT Bold"/>
          <w:smallCaps/>
          <w:sz w:val="24"/>
          <w:szCs w:val="24"/>
        </w:rPr>
      </w:pPr>
      <w:r w:rsidRPr="00D0789F">
        <w:rPr>
          <w:rFonts w:ascii="Arial Rounded MT Bold" w:hAnsi="Arial Rounded MT Bold"/>
          <w:smallCaps/>
          <w:sz w:val="24"/>
          <w:szCs w:val="24"/>
        </w:rPr>
        <w:t>Implementación</w:t>
      </w:r>
      <w:r w:rsidR="005E6F69" w:rsidRPr="00D0789F">
        <w:rPr>
          <w:rFonts w:ascii="Arial Rounded MT Bold" w:hAnsi="Arial Rounded MT Bold"/>
          <w:smallCaps/>
          <w:sz w:val="24"/>
          <w:szCs w:val="24"/>
        </w:rPr>
        <w:t xml:space="preserve">  </w:t>
      </w:r>
    </w:p>
    <w:p w:rsidR="003D6784" w:rsidRPr="003D6784" w:rsidRDefault="00705B49" w:rsidP="00014C20">
      <w:r>
        <w:t xml:space="preserve">En términos de implementación, se propone la aplicación modificada del Círculo de Mejora Continua (Planear, Realizar, Verificar y Actuar), tomando en cuenta </w:t>
      </w:r>
      <w:r w:rsidR="00AC4667">
        <w:t>la ejecución de Acciones preliminares, Principales y de Apoyo.</w:t>
      </w:r>
    </w:p>
    <w:p w:rsidR="00AC4667" w:rsidRDefault="00AC4667" w:rsidP="00AC4667">
      <w:r>
        <w:t>A partir del diagnostico respectivo, se evaluaron diversas estrategias tendientes a resolver en el inmediato, corto, mediano y largo plazo, las problemáticas más sobresalientes.  Esta actividad se ve reflejada en la Matriz de Planeación en la cual se detalla el conjunto de actividades necesarias para cumplir el Objetivo General.</w:t>
      </w:r>
    </w:p>
    <w:p w:rsidR="00AB28D8" w:rsidRPr="00D0789F" w:rsidRDefault="00AB28D8" w:rsidP="00D0789F">
      <w:pPr>
        <w:outlineLvl w:val="0"/>
        <w:rPr>
          <w:rFonts w:ascii="Arial Rounded MT Bold" w:hAnsi="Arial Rounded MT Bold"/>
          <w:smallCaps/>
          <w:sz w:val="24"/>
          <w:szCs w:val="24"/>
        </w:rPr>
      </w:pPr>
      <w:r w:rsidRPr="00D0789F">
        <w:rPr>
          <w:rFonts w:ascii="Arial Rounded MT Bold" w:hAnsi="Arial Rounded MT Bold"/>
          <w:smallCaps/>
          <w:sz w:val="24"/>
          <w:szCs w:val="24"/>
        </w:rPr>
        <w:t>Costo / Benefic</w:t>
      </w:r>
      <w:r w:rsidR="00B411AC">
        <w:rPr>
          <w:rFonts w:ascii="Arial Rounded MT Bold" w:hAnsi="Arial Rounded MT Bold"/>
          <w:smallCaps/>
          <w:sz w:val="24"/>
          <w:szCs w:val="24"/>
        </w:rPr>
        <w:t>i</w:t>
      </w:r>
      <w:r w:rsidRPr="00D0789F">
        <w:rPr>
          <w:rFonts w:ascii="Arial Rounded MT Bold" w:hAnsi="Arial Rounded MT Bold"/>
          <w:smallCaps/>
          <w:sz w:val="24"/>
          <w:szCs w:val="24"/>
        </w:rPr>
        <w:t>o</w:t>
      </w:r>
      <w:r w:rsidR="005E6F69" w:rsidRPr="00D0789F">
        <w:rPr>
          <w:rFonts w:ascii="Arial Rounded MT Bold" w:hAnsi="Arial Rounded MT Bold"/>
          <w:smallCaps/>
          <w:sz w:val="24"/>
          <w:szCs w:val="24"/>
        </w:rPr>
        <w:t xml:space="preserve">  </w:t>
      </w:r>
    </w:p>
    <w:p w:rsidR="00AB28D8" w:rsidRPr="00AB28D8" w:rsidRDefault="00AB28D8" w:rsidP="00AB28D8">
      <w:r w:rsidRPr="00AB28D8">
        <w:t>Del análisis de los beneficios y de los costos de la sobreexplotación, se identifica: un Costo total por sobreexplotación histórica de 1,185 MDP (Afectación a captaciones, 160 MDP; Sobrecostos de energía, 60 MDP; y, Costos de oportunidad, 965 MDP) y un Beneficio acumulado por sobreexplotación, de 30 MDP. De este modo, la relación Beneficio – Costo de la sobreexplotación resulta de -1.155 MDP; mient</w:t>
      </w:r>
      <w:r w:rsidR="00B411AC">
        <w:t>ras que la relación Beneficio /</w:t>
      </w:r>
      <w:r w:rsidRPr="00AB28D8">
        <w:t>Costo es de 0.025.</w:t>
      </w:r>
    </w:p>
    <w:p w:rsidR="003D6784" w:rsidRPr="003D6784" w:rsidRDefault="003D6784" w:rsidP="00014C20"/>
    <w:p w:rsidR="003D6784" w:rsidRPr="003D6784" w:rsidRDefault="003D6784" w:rsidP="00014C20"/>
    <w:p w:rsidR="003D6784" w:rsidRPr="003D6784" w:rsidRDefault="003D6784" w:rsidP="00014C20"/>
    <w:p w:rsidR="003D6784" w:rsidRPr="003D6784" w:rsidRDefault="003D6784" w:rsidP="00014C20"/>
    <w:p w:rsidR="001A372D" w:rsidRDefault="001A372D" w:rsidP="00014C20">
      <w:pPr>
        <w:sectPr w:rsidR="001A372D" w:rsidSect="00D841C1">
          <w:headerReference w:type="even" r:id="rId11"/>
          <w:headerReference w:type="default" r:id="rId12"/>
          <w:footerReference w:type="default" r:id="rId13"/>
          <w:pgSz w:w="12240" w:h="15840" w:code="1"/>
          <w:pgMar w:top="1374" w:right="1134" w:bottom="1701" w:left="1418" w:header="709" w:footer="567" w:gutter="0"/>
          <w:pgNumType w:fmt="lowerRoman" w:start="1"/>
          <w:cols w:space="708"/>
          <w:docGrid w:linePitch="360"/>
        </w:sectPr>
      </w:pPr>
    </w:p>
    <w:p w:rsidR="0031268D" w:rsidRDefault="006D35B9" w:rsidP="008011C2">
      <w:pPr>
        <w:pStyle w:val="Ttulo1"/>
      </w:pPr>
      <w:bookmarkStart w:id="0" w:name="_Toc198039303"/>
      <w:bookmarkStart w:id="1" w:name="_Toc198039326"/>
      <w:bookmarkStart w:id="2" w:name="_Toc198039369"/>
      <w:bookmarkStart w:id="3" w:name="_Toc198039448"/>
      <w:bookmarkStart w:id="4" w:name="_Toc198039749"/>
      <w:bookmarkStart w:id="5" w:name="_Toc198039797"/>
      <w:bookmarkStart w:id="6" w:name="_Toc198039963"/>
      <w:bookmarkStart w:id="7" w:name="_Toc283886431"/>
      <w:bookmarkEnd w:id="0"/>
      <w:bookmarkEnd w:id="1"/>
      <w:bookmarkEnd w:id="2"/>
      <w:bookmarkEnd w:id="3"/>
      <w:bookmarkEnd w:id="4"/>
      <w:bookmarkEnd w:id="5"/>
      <w:bookmarkEnd w:id="6"/>
      <w:r>
        <w:lastRenderedPageBreak/>
        <w:t>Generalidades</w:t>
      </w:r>
      <w:bookmarkEnd w:id="7"/>
    </w:p>
    <w:p w:rsidR="003916B5" w:rsidRDefault="006D35B9" w:rsidP="008011C2">
      <w:pPr>
        <w:pStyle w:val="Ttulo2"/>
      </w:pPr>
      <w:bookmarkStart w:id="8" w:name="_Toc283886432"/>
      <w:r>
        <w:t>Antecedentes</w:t>
      </w:r>
      <w:bookmarkEnd w:id="8"/>
    </w:p>
    <w:p w:rsidR="00687A6F" w:rsidRDefault="00EF17E2" w:rsidP="007A2756">
      <w:r>
        <w:t>El acuífero Huamantla–Libres Oriental</w:t>
      </w:r>
      <w:r w:rsidR="00687A6F">
        <w:t xml:space="preserve">–Perote Zalayeta (HLOP) </w:t>
      </w:r>
      <w:r w:rsidR="00C54B1D">
        <w:t xml:space="preserve">constituye una de las reservas de agua subterránea más importantes </w:t>
      </w:r>
      <w:r w:rsidR="007A2756">
        <w:t xml:space="preserve">para los </w:t>
      </w:r>
      <w:r>
        <w:t>e</w:t>
      </w:r>
      <w:r w:rsidR="007A2756">
        <w:t>stados de Tlaxcala y Puebla. L</w:t>
      </w:r>
      <w:r w:rsidR="00C54B1D">
        <w:t>a hidrología superficial en las áreas de Huamantla y Libres Oriental, es la de una cuenca endorreica sin descargas por escurrimiento, donde por siglos existieron dos grandes lagunas: El Carmen y El Salado, cuerpos de agua similares al antiguo Lago de Texcoco en el Valle de México</w:t>
      </w:r>
      <w:r w:rsidR="007A2756">
        <w:t xml:space="preserve">, pero que, </w:t>
      </w:r>
      <w:r w:rsidR="000E1FAD">
        <w:t xml:space="preserve"> debido a la modificación del esquema de flujo subterráneo, corren peligro de desaparecer </w:t>
      </w:r>
      <w:r w:rsidR="007A2756">
        <w:t xml:space="preserve">definitivamente </w:t>
      </w:r>
      <w:r w:rsidR="000E1FAD">
        <w:t xml:space="preserve">en </w:t>
      </w:r>
      <w:r w:rsidR="007A2756">
        <w:t>el</w:t>
      </w:r>
      <w:r w:rsidR="000E1FAD">
        <w:t xml:space="preserve"> mediano plazo</w:t>
      </w:r>
      <w:r w:rsidR="00C54B1D">
        <w:t>.</w:t>
      </w:r>
    </w:p>
    <w:p w:rsidR="00C54B1D" w:rsidRDefault="00C54B1D" w:rsidP="0079070E">
      <w:r>
        <w:t xml:space="preserve">Dado que la cuenca se encuentra rodeada de importantes montañas del eje </w:t>
      </w:r>
      <w:proofErr w:type="spellStart"/>
      <w:r>
        <w:t>Neovolcánico</w:t>
      </w:r>
      <w:proofErr w:type="spellEnd"/>
      <w:r>
        <w:t xml:space="preserve"> (Pico de Orizaba, Cofre del Perote y La </w:t>
      </w:r>
      <w:proofErr w:type="spellStart"/>
      <w:r>
        <w:t>Mali</w:t>
      </w:r>
      <w:r w:rsidR="00520A9D">
        <w:t>n</w:t>
      </w:r>
      <w:r>
        <w:t>tzin</w:t>
      </w:r>
      <w:proofErr w:type="spellEnd"/>
      <w:r>
        <w:t xml:space="preserve">), la generalidad del material que se extiende desde la cumbre de estas elevaciones hasta los valles, consiste en arenas en su mayoría gruesas, de muy alta permeabilidad, que </w:t>
      </w:r>
      <w:r w:rsidR="007A2756">
        <w:t xml:space="preserve">dificultan la presencia de corrientes de agua permanentes que alimenten  hidrológicamente </w:t>
      </w:r>
      <w:r>
        <w:t xml:space="preserve">las lagunas descritas </w:t>
      </w:r>
      <w:r w:rsidR="007A2756">
        <w:t>con anterioridad</w:t>
      </w:r>
      <w:r>
        <w:t>.</w:t>
      </w:r>
    </w:p>
    <w:p w:rsidR="00C54B1D" w:rsidRDefault="00C54B1D" w:rsidP="0079070E">
      <w:r>
        <w:t xml:space="preserve">En décadas anteriores, especialistas en hidrogeología </w:t>
      </w:r>
      <w:r w:rsidR="00C0348D">
        <w:t>han demostrado</w:t>
      </w:r>
      <w:r>
        <w:t xml:space="preserve"> que la principal fuente de alimentación de las lagunas es la descarga </w:t>
      </w:r>
      <w:r w:rsidR="00C0348D">
        <w:t xml:space="preserve">vertical natural </w:t>
      </w:r>
      <w:r>
        <w:t>de agua subterránea, asimismo, se confirm</w:t>
      </w:r>
      <w:r w:rsidR="00C0348D">
        <w:t xml:space="preserve">ó </w:t>
      </w:r>
      <w:r>
        <w:t>el flujo interregional de a</w:t>
      </w:r>
      <w:r w:rsidR="00C0348D">
        <w:t>gua desde el acuífero de Libres–</w:t>
      </w:r>
      <w:r>
        <w:t>Oriental hacia Tecamachalco, situación que técnicamente se encuentra ausente en los estudios técnicos recientes de este último acuífero</w:t>
      </w:r>
      <w:r w:rsidR="00C0348D">
        <w:t>,</w:t>
      </w:r>
      <w:r>
        <w:t xml:space="preserve"> y dados los patrones de flujo actuales, se estima que dicha componente existe pero con una magnitud pequeña y de baja relevancia dentro del esquema actual de funcio</w:t>
      </w:r>
      <w:r w:rsidR="00C0348D">
        <w:t>namiento del acuífero de Libres–</w:t>
      </w:r>
      <w:r>
        <w:t>Oriental.</w:t>
      </w:r>
    </w:p>
    <w:p w:rsidR="0079070E" w:rsidRDefault="0079070E" w:rsidP="0079070E">
      <w:r>
        <w:t xml:space="preserve">El acuífero Huamantla-Libres Oriental-Perote (HLOP) es un </w:t>
      </w:r>
      <w:r w:rsidR="000E1FAD">
        <w:t>cuerpo de agua</w:t>
      </w:r>
      <w:r>
        <w:t xml:space="preserve"> interestatal ubicado en los estados de Tlaxcala, Puebla y Veracruz; administrativamente se trata de tres acuíferos diferentes agrupados para la formulación de un solo Plan de Manejo. Abastece a una región del centro del país que por sus características hidrológicas depende del aprovechamiento de aguas subterráneas, situación que ha incrementado la presión sobre este recurso con repercusiones importantes en los aspectos económicos, sociales y ambientales. </w:t>
      </w:r>
    </w:p>
    <w:p w:rsidR="006F0E0B" w:rsidRDefault="00995C90" w:rsidP="00960B5F">
      <w:r w:rsidRPr="001D5022">
        <w:t xml:space="preserve">Desde </w:t>
      </w:r>
      <w:r w:rsidR="00960B5F">
        <w:t xml:space="preserve">de la década de los </w:t>
      </w:r>
      <w:r w:rsidR="00687A6F">
        <w:t>años cincuenta</w:t>
      </w:r>
      <w:r w:rsidRPr="001D5022">
        <w:t xml:space="preserve">, </w:t>
      </w:r>
      <w:r w:rsidR="0079070E">
        <w:t>el acuífero</w:t>
      </w:r>
      <w:r w:rsidR="00960B5F">
        <w:t xml:space="preserve"> ha sido estud</w:t>
      </w:r>
      <w:r w:rsidR="0079070E">
        <w:t>iado</w:t>
      </w:r>
      <w:r w:rsidR="00960B5F">
        <w:t xml:space="preserve"> </w:t>
      </w:r>
      <w:proofErr w:type="spellStart"/>
      <w:r w:rsidR="00960B5F">
        <w:t>geohidrológicamente</w:t>
      </w:r>
      <w:proofErr w:type="spellEnd"/>
      <w:r w:rsidR="00960B5F">
        <w:t>, principalmente para suministro de agua para uso pú</w:t>
      </w:r>
      <w:r w:rsidR="0079070E">
        <w:t>blico-</w:t>
      </w:r>
      <w:r w:rsidR="00960B5F">
        <w:t xml:space="preserve">urbano. Tanto la </w:t>
      </w:r>
      <w:r w:rsidRPr="001D5022">
        <w:t xml:space="preserve">entonces Comisión Hidrológica de la Cuenca del Valle de México (CHCVM) como la Secretaría de Recursos Hidráulicos realizaron </w:t>
      </w:r>
      <w:r w:rsidR="006F0E0B">
        <w:t>estudios</w:t>
      </w:r>
      <w:r w:rsidRPr="001D5022">
        <w:t xml:space="preserve"> </w:t>
      </w:r>
      <w:r w:rsidR="00960B5F">
        <w:t>para</w:t>
      </w:r>
      <w:r w:rsidR="0079070E">
        <w:t xml:space="preserve"> el</w:t>
      </w:r>
      <w:r w:rsidR="00960B5F">
        <w:t xml:space="preserve"> abastecimiento de agua </w:t>
      </w:r>
      <w:r w:rsidR="006F0E0B">
        <w:t xml:space="preserve">potable </w:t>
      </w:r>
      <w:r w:rsidR="00960B5F">
        <w:t>a la ciudad de M</w:t>
      </w:r>
      <w:r w:rsidR="006F0E0B">
        <w:t>éxico</w:t>
      </w:r>
      <w:r w:rsidR="0079070E">
        <w:t xml:space="preserve">, así como </w:t>
      </w:r>
      <w:r w:rsidR="006F0E0B">
        <w:t xml:space="preserve">al Distrito </w:t>
      </w:r>
      <w:r w:rsidR="00334365">
        <w:t xml:space="preserve">de Riego </w:t>
      </w:r>
      <w:r w:rsidR="006F0E0B">
        <w:t xml:space="preserve">030 </w:t>
      </w:r>
      <w:proofErr w:type="spellStart"/>
      <w:r w:rsidR="006F0E0B">
        <w:t>Valsequillo</w:t>
      </w:r>
      <w:proofErr w:type="spellEnd"/>
      <w:r w:rsidR="006F0E0B">
        <w:t xml:space="preserve">. Para los </w:t>
      </w:r>
      <w:r w:rsidR="00687A6F">
        <w:t>años ochenta</w:t>
      </w:r>
      <w:r w:rsidR="006F0E0B">
        <w:t>, el Proyecto Moctezuma consider</w:t>
      </w:r>
      <w:r w:rsidR="0079070E">
        <w:t>ó</w:t>
      </w:r>
      <w:r w:rsidR="006F0E0B">
        <w:t xml:space="preserve"> la posibilidad de abastecerse </w:t>
      </w:r>
      <w:r w:rsidR="0079070E">
        <w:t xml:space="preserve">de este acuífero a </w:t>
      </w:r>
      <w:r w:rsidR="006F0E0B">
        <w:t>razón de entre 2</w:t>
      </w:r>
      <w:r w:rsidR="00687A6F">
        <w:t xml:space="preserve"> m</w:t>
      </w:r>
      <w:r w:rsidR="00687A6F">
        <w:rPr>
          <w:vertAlign w:val="superscript"/>
        </w:rPr>
        <w:t>3</w:t>
      </w:r>
      <w:r w:rsidR="00687A6F">
        <w:t>/s</w:t>
      </w:r>
      <w:r w:rsidR="006F0E0B">
        <w:t xml:space="preserve"> a 4 m</w:t>
      </w:r>
      <w:r w:rsidR="006F0E0B">
        <w:rPr>
          <w:vertAlign w:val="superscript"/>
        </w:rPr>
        <w:t>3</w:t>
      </w:r>
      <w:r w:rsidR="006F0E0B">
        <w:t xml:space="preserve">/s. </w:t>
      </w:r>
      <w:r w:rsidR="0079070E">
        <w:t>R</w:t>
      </w:r>
      <w:r w:rsidR="006F0E0B">
        <w:t xml:space="preserve">ecientemente, </w:t>
      </w:r>
      <w:r w:rsidR="00334365">
        <w:t xml:space="preserve">el </w:t>
      </w:r>
      <w:r w:rsidR="006F0E0B">
        <w:t xml:space="preserve">Programa de Desarrollo Regional </w:t>
      </w:r>
      <w:proofErr w:type="spellStart"/>
      <w:r w:rsidR="006F0E0B">
        <w:t>Angel</w:t>
      </w:r>
      <w:r w:rsidR="00687A6F">
        <w:t>ó</w:t>
      </w:r>
      <w:r w:rsidR="006F0E0B">
        <w:t>polis</w:t>
      </w:r>
      <w:proofErr w:type="spellEnd"/>
      <w:r w:rsidR="006F0E0B">
        <w:t xml:space="preserve"> consideró un aumento de extracción para abastecimiento a la ciudad de Puebla. Ninguno de estos proyectos ha sido concretado a la fecha.</w:t>
      </w:r>
    </w:p>
    <w:p w:rsidR="00334365" w:rsidRDefault="00334365" w:rsidP="00334365">
      <w:r>
        <w:lastRenderedPageBreak/>
        <w:t>La región presenta un</w:t>
      </w:r>
      <w:r w:rsidR="00F3534D">
        <w:t>a</w:t>
      </w:r>
      <w:r>
        <w:t xml:space="preserve"> configuración hidrológica</w:t>
      </w:r>
      <w:r w:rsidR="00A64579">
        <w:t xml:space="preserve"> superficial prácticamente nula y</w:t>
      </w:r>
      <w:r>
        <w:t xml:space="preserve"> fuertes tasas de evaporación, por lo que el </w:t>
      </w:r>
      <w:proofErr w:type="spellStart"/>
      <w:r>
        <w:t>sobreaprovechamiento</w:t>
      </w:r>
      <w:proofErr w:type="spellEnd"/>
      <w:r>
        <w:t xml:space="preserve"> de aguas subterránea</w:t>
      </w:r>
      <w:r w:rsidR="0079070E">
        <w:t>s</w:t>
      </w:r>
      <w:r>
        <w:t xml:space="preserve"> y salidas geohidrológicas naturales a cuencas adyacentes, provoca disminución de</w:t>
      </w:r>
      <w:r w:rsidR="00F3534D">
        <w:t>l</w:t>
      </w:r>
      <w:r>
        <w:t xml:space="preserve"> nivel freático. La configuración de </w:t>
      </w:r>
      <w:proofErr w:type="spellStart"/>
      <w:r>
        <w:t>isolíneas</w:t>
      </w:r>
      <w:proofErr w:type="spellEnd"/>
      <w:r>
        <w:t xml:space="preserve"> de nivel estático, muestra que las líneas de flujo se generan en las partes altas de la cuenca </w:t>
      </w:r>
      <w:proofErr w:type="spellStart"/>
      <w:r>
        <w:t>endorréica</w:t>
      </w:r>
      <w:proofErr w:type="spellEnd"/>
      <w:r>
        <w:t xml:space="preserve"> y confluyen en las partes bajas donde se localizan los lagos Totolcingo y El Salado. En promedio, para las partes </w:t>
      </w:r>
      <w:r w:rsidR="003D2EC9">
        <w:t>bajas</w:t>
      </w:r>
      <w:r>
        <w:t xml:space="preserve">, el nivel es de 0-10 metros (zonas cercanas a la laguna Totolcingo y </w:t>
      </w:r>
      <w:r w:rsidR="003D2EC9">
        <w:t>El Salado</w:t>
      </w:r>
      <w:r>
        <w:t>)</w:t>
      </w:r>
      <w:r w:rsidR="003D2EC9">
        <w:t>,</w:t>
      </w:r>
      <w:r>
        <w:t xml:space="preserve"> y profundidades de hasta 220 m</w:t>
      </w:r>
      <w:r w:rsidR="003D2EC9">
        <w:t>etros</w:t>
      </w:r>
      <w:r>
        <w:t xml:space="preserve"> hacia las partes altas de la región. </w:t>
      </w:r>
    </w:p>
    <w:p w:rsidR="00334365" w:rsidRDefault="00334365" w:rsidP="00334365">
      <w:r>
        <w:t xml:space="preserve">En estudios piezométricos de 1966-1996 se cuantificaron abatimientos de 1 </w:t>
      </w:r>
      <w:r w:rsidR="00687A6F">
        <w:t xml:space="preserve">m </w:t>
      </w:r>
      <w:r>
        <w:t>a 6 m en la zona de Totolcingo; de 1</w:t>
      </w:r>
      <w:r w:rsidR="00687A6F">
        <w:t xml:space="preserve"> m</w:t>
      </w:r>
      <w:r>
        <w:t xml:space="preserve"> a 3 m en la zona de Libres-Oriental; de 2 </w:t>
      </w:r>
      <w:r w:rsidR="00687A6F">
        <w:t xml:space="preserve">m </w:t>
      </w:r>
      <w:r>
        <w:t>a 3 m en la región de Tepeyahualco; de 2</w:t>
      </w:r>
      <w:r w:rsidR="00687A6F">
        <w:t xml:space="preserve"> m</w:t>
      </w:r>
      <w:r>
        <w:t xml:space="preserve"> a 4 m en Perote y de 2</w:t>
      </w:r>
      <w:r w:rsidR="00687A6F">
        <w:t xml:space="preserve"> m</w:t>
      </w:r>
      <w:r>
        <w:t xml:space="preserve"> a 6 m en la zona de Buenos Aires-Ciudad </w:t>
      </w:r>
      <w:r w:rsidR="008E1A3F">
        <w:t>Serdán</w:t>
      </w:r>
      <w:r>
        <w:t xml:space="preserve">. Para </w:t>
      </w:r>
      <w:proofErr w:type="spellStart"/>
      <w:r>
        <w:t>piezometrías</w:t>
      </w:r>
      <w:proofErr w:type="spellEnd"/>
      <w:r>
        <w:t xml:space="preserve"> mas recientes (1996-2002) se han considerado desniveles de entre 2 y 4 metros con promedios anuales de entre 0.60-0.75 metros, presentándose principalmente tres conos de abatimiento: poniente de la cuenca en </w:t>
      </w:r>
      <w:r w:rsidR="003D2EC9">
        <w:t xml:space="preserve">el </w:t>
      </w:r>
      <w:r>
        <w:t>estado de Tlaxcala; parte sur</w:t>
      </w:r>
      <w:r w:rsidR="003D2EC9">
        <w:t>oriental, en la porción poblana;</w:t>
      </w:r>
      <w:r>
        <w:t xml:space="preserve"> y porción norocci</w:t>
      </w:r>
      <w:r w:rsidR="003D2EC9">
        <w:t>dente, también dentro de Puebla</w:t>
      </w:r>
      <w:r>
        <w:t>.</w:t>
      </w:r>
    </w:p>
    <w:p w:rsidR="00995C90" w:rsidRPr="001D5022" w:rsidRDefault="00995C90" w:rsidP="00512F5E">
      <w:r w:rsidRPr="001D5022">
        <w:t>Por lo anterior, la Comisión Nacional del Agua</w:t>
      </w:r>
      <w:r w:rsidR="00C0348D">
        <w:t xml:space="preserve"> (CONAGUA)</w:t>
      </w:r>
      <w:r w:rsidRPr="001D5022">
        <w:t xml:space="preserve">, a través de la Gerencia de Aguas Subterráneas, ha emprendido </w:t>
      </w:r>
      <w:r w:rsidR="003F680F" w:rsidRPr="001D5022">
        <w:t>diversas</w:t>
      </w:r>
      <w:r w:rsidRPr="001D5022">
        <w:t xml:space="preserve"> tarea</w:t>
      </w:r>
      <w:r w:rsidR="003F680F" w:rsidRPr="001D5022">
        <w:t>s para</w:t>
      </w:r>
      <w:r w:rsidRPr="001D5022">
        <w:t xml:space="preserve"> conocer las fluctuaciones de los niveles del agua en el subsuelo y, en este caso, continuar con las </w:t>
      </w:r>
      <w:r w:rsidR="003F680F" w:rsidRPr="001D5022">
        <w:t xml:space="preserve">estrategias de manejo </w:t>
      </w:r>
      <w:r w:rsidRPr="001D5022">
        <w:t>considerando tanto las demandas como la disponibilidad del agua.</w:t>
      </w:r>
      <w:r w:rsidR="00334365">
        <w:t xml:space="preserve"> Así pues, el actual Plan de Manejo Integrado para el Aprovechamiento Sostenible del Agua en el Área de Influencia del Acuífero Huamantla-Libres Oriental-Perote</w:t>
      </w:r>
      <w:r w:rsidR="00F3534D">
        <w:t>, pretende sentar las bases de ó</w:t>
      </w:r>
      <w:r w:rsidR="00334365">
        <w:t xml:space="preserve">ptimo aprovechamientos de aguas subterráneas con la finalidad de contribuir al desarrollo socioeconómico de la región desde una perspectiva de compatibilidad con el medio ambiente. </w:t>
      </w:r>
    </w:p>
    <w:p w:rsidR="006D35B9" w:rsidRDefault="006D35B9" w:rsidP="008011C2">
      <w:pPr>
        <w:pStyle w:val="Ttulo2"/>
      </w:pPr>
      <w:bookmarkStart w:id="9" w:name="_Toc283886433"/>
      <w:r>
        <w:t>Problemática</w:t>
      </w:r>
      <w:bookmarkEnd w:id="9"/>
    </w:p>
    <w:p w:rsidR="000A698D" w:rsidRDefault="000A698D" w:rsidP="000A698D">
      <w:r>
        <w:t xml:space="preserve">El acuífero Huamantla-Libres Oriental-Perote proporciona agua subterránea para una importante región del centro oriente de la República Mexicana, comprendiendo parcialmente los estados de Tlaxcala, Puebla y Veracruz, lo que implica que se circunscribe en escenarios que conjugan retos y oportunidades de muy diverso orden. </w:t>
      </w:r>
    </w:p>
    <w:p w:rsidR="00E20A74" w:rsidRDefault="00E20A74" w:rsidP="000A698D">
      <w:r>
        <w:t>Expuesto a un excesivo cambio en los usos de suelo y al crecimiento paulatino de las extracciones de agua subterránea durante la segunda mitad del Siglo XX, el acuífero refleja notables cambios, propios de un proceso gradual de desertificación.</w:t>
      </w:r>
      <w:r w:rsidR="00517BFB">
        <w:t xml:space="preserve">  Estas condiciones han afectado las características del proceso de recarga </w:t>
      </w:r>
      <w:r w:rsidR="00C0348D">
        <w:t xml:space="preserve">natural, </w:t>
      </w:r>
      <w:r w:rsidR="00517BFB">
        <w:t>principalmente en las partes alta de las cuencas.</w:t>
      </w:r>
    </w:p>
    <w:p w:rsidR="00E20A74" w:rsidRDefault="00E20A74" w:rsidP="000A698D">
      <w:r>
        <w:t xml:space="preserve">A diferencia de otros acuíferos sobreexplotados, donde los efectos de la sobreexplotación se reflejan directamente en altas tasas de abatimiento, el descenso de los niveles piezométricos en los acuíferos de Huamantla y Libres – Oriental son aparentemente moderados, lo que se debe más que al equilibrio, al alto coeficiente de almacenamiento </w:t>
      </w:r>
      <w:r w:rsidR="001516F7">
        <w:t xml:space="preserve">(en Huamantla) y </w:t>
      </w:r>
      <w:r w:rsidR="00517BFB">
        <w:t xml:space="preserve">a </w:t>
      </w:r>
      <w:r w:rsidR="001516F7">
        <w:t xml:space="preserve">la gradual y estacional desaparición de las lagunas </w:t>
      </w:r>
      <w:r w:rsidR="00517BFB">
        <w:t xml:space="preserve">que reduce la tasa natural de descarga y compensa el efecto de la sobreexplotación en la zona de Libres – Oriental.  La zona de Perote no está sobreexplotada.  Ante </w:t>
      </w:r>
      <w:r w:rsidR="00517BFB">
        <w:lastRenderedPageBreak/>
        <w:t>esta situación, existe una falta de urgencia tangible que impacte directamente sobre las actividades productivas que consumen más agua.</w:t>
      </w:r>
    </w:p>
    <w:p w:rsidR="000A698D" w:rsidRDefault="000A698D" w:rsidP="000A698D">
      <w:r>
        <w:t xml:space="preserve">En la actualidad, los esquemas de desarrollo social, económico, productivo y ambiental ofrecen áreas de oportunidad, que manejadas adecuadamente, repercutirían en una oferta suficiente de algunos satisfactores para los sectores sociales y productivos; sin embargo, hoy día se demandan acciones concretas para superar diversos retos que impiden el aprovechamiento óptimo del recurso hídrico, de esta forma, a continuación se describen las principales problemática en lo relativo al agua subterránea del acuífero HLOP desde una perspectiva lo mas integral posible. </w:t>
      </w:r>
    </w:p>
    <w:p w:rsidR="000A698D" w:rsidRPr="00B17E82" w:rsidRDefault="000A698D" w:rsidP="008011C2">
      <w:pPr>
        <w:outlineLvl w:val="0"/>
        <w:rPr>
          <w:i/>
          <w:u w:val="single"/>
        </w:rPr>
      </w:pPr>
      <w:r w:rsidRPr="00B17E82">
        <w:rPr>
          <w:i/>
          <w:u w:val="single"/>
        </w:rPr>
        <w:t>Las dificultades para la organización en el manejo del acuífero</w:t>
      </w:r>
    </w:p>
    <w:p w:rsidR="000A698D" w:rsidRDefault="000A698D" w:rsidP="000A698D">
      <w:r>
        <w:t>Aún cuando los acuíferos presentan una continuidad hidrogeológica entre sí, la división política estatal origina una división imaginaria, que únicamente incide en las condiciones de manejo por parte de los habitantes de cada estado.  Esto a su vez ha originado una dificultad para la coordinación interestatal para el manejo integrado de las aguas subterráneas.</w:t>
      </w:r>
    </w:p>
    <w:p w:rsidR="000A698D" w:rsidRPr="00B17E82" w:rsidRDefault="000A698D" w:rsidP="008011C2">
      <w:pPr>
        <w:outlineLvl w:val="0"/>
        <w:rPr>
          <w:i/>
          <w:u w:val="single"/>
        </w:rPr>
      </w:pPr>
      <w:r w:rsidRPr="00B17E82">
        <w:rPr>
          <w:i/>
          <w:u w:val="single"/>
        </w:rPr>
        <w:t>Deficiencias técnicas y administrativas en el manejo del acuífero</w:t>
      </w:r>
    </w:p>
    <w:p w:rsidR="000A698D" w:rsidRDefault="000A698D" w:rsidP="000A698D">
      <w:r>
        <w:t xml:space="preserve">En lo concerniente a efectos de sobreexplotación, los estudios técnicos carecen de actualidad y las configuraciones piezométricas no revelan una sobreexplotación, salvo en zonas muy específicas.  </w:t>
      </w:r>
    </w:p>
    <w:p w:rsidR="000A698D" w:rsidRDefault="000A698D" w:rsidP="000A698D">
      <w:r>
        <w:t xml:space="preserve">En general y de acuerdo con los estudios técnicos, estos acuíferos no se encuentran sobreexplotados; sin embargo, con base en el Registro Público de Derechos de Agua, los volúmenes concesionados en el acuífero Libres-Oriental, exceden considerablemente al volumen de extracción calculada, con lo cual existe una “sobre concesión” o concesión de volúmenes que podrían en su caso, dar origen a la sobreexplotación. </w:t>
      </w:r>
    </w:p>
    <w:p w:rsidR="000A698D" w:rsidRDefault="000A698D" w:rsidP="000A698D">
      <w:r>
        <w:t xml:space="preserve">El porcentaje de aprovechamientos que cuentan con un medidor volumétrico, aún es muy bajo, del orden del 20%, por lo que existe una amplia imprecisión para la estimación del gasto aprovechado principalmente en la agricultura.  </w:t>
      </w:r>
    </w:p>
    <w:p w:rsidR="000A698D" w:rsidRDefault="000A698D" w:rsidP="000A698D">
      <w:r>
        <w:t>Los títulos de concesión, contienen volúmenes declarados por los usuarios bajo protesta de decir verdad, para el caso del uso agrícola, aún así, los volúmenes son considerablemente mayores a la extracción real (esto de acuerdo con los estudios técnicos), mientras que para el uso público urbano el fenómeno es contrario, con un volumen concesionado bastante menor al que se estima necesario para el abastecimiento.</w:t>
      </w:r>
    </w:p>
    <w:p w:rsidR="000A698D" w:rsidRDefault="000A698D" w:rsidP="000A698D">
      <w:r>
        <w:t>El Registro Público de Derechos de Agua, presenta un margen de imprecisión en varias de sus cifras, entre las cuales y para fines de su relación con la propuesta de manejo integrado, destacan: las coordenadas geográficas, las características del aprovechamiento y el volumen concesionado, el cual dista del realmente aprovechado.</w:t>
      </w:r>
    </w:p>
    <w:p w:rsidR="000A698D" w:rsidRDefault="000A698D" w:rsidP="000A698D">
      <w:r>
        <w:t>Las deficiencias se presentan en la calidad de las bases de datos, en los procedimientos de ordenamiento y registro, en la medición y en el control del aprovechamiento.  En suma este conjunto de aspectos reducen la confiabilidad en las estimaciones.</w:t>
      </w:r>
    </w:p>
    <w:p w:rsidR="000A698D" w:rsidRDefault="000A698D" w:rsidP="000A698D">
      <w:r>
        <w:lastRenderedPageBreak/>
        <w:t>Otro aspecto relevante, es la deficiencia de recursos destinados al manejo integrado del acuífero, lo que implica a su vez, el manejo sustentable de las aguas superficiales, subterráneas y propiamente un manejo de cuencas en condiciones sustentables.</w:t>
      </w:r>
    </w:p>
    <w:p w:rsidR="000A698D" w:rsidRPr="00B17E82" w:rsidRDefault="000A698D" w:rsidP="008011C2">
      <w:pPr>
        <w:outlineLvl w:val="0"/>
        <w:rPr>
          <w:i/>
          <w:u w:val="single"/>
        </w:rPr>
      </w:pPr>
      <w:r w:rsidRPr="00B17E82">
        <w:rPr>
          <w:i/>
          <w:u w:val="single"/>
        </w:rPr>
        <w:t>Los retos del Comité Técnico de Aguas Subterráneas</w:t>
      </w:r>
    </w:p>
    <w:p w:rsidR="000A698D" w:rsidRDefault="000A698D" w:rsidP="000A698D">
      <w:r>
        <w:t>El Comité Técnico de Aguas Subterráneas, se encuentra aún en un proceso de gestión y consolidación.  Esto significa que todavía no desempeña las funciones que logrará realizar en el futuro, cuando cuente con mayores recursos humanos, técnicos y económicos.</w:t>
      </w:r>
    </w:p>
    <w:p w:rsidR="000A698D" w:rsidRDefault="000A698D" w:rsidP="000A698D">
      <w:r>
        <w:t>Vale la pena recalcar que actualmente se concibe a los COTAS, como los instrumentos estructurales que a través de su capacidad de convocatoria, su representatividad interinstitucional y social, permitirán el grado de coordinación y compromiso necesarios para evitar las condiciones inerciales que aún con esfuerzos sociales e institucionales, han prevalecido durante las últimas décadas.</w:t>
      </w:r>
    </w:p>
    <w:p w:rsidR="000A698D" w:rsidRDefault="000A698D" w:rsidP="000A698D">
      <w:r>
        <w:t>De acuerdo con el Comité Técnico de Aguas Subterráneas, los principales problemas de esta zona acuífera son los siguientes:</w:t>
      </w:r>
    </w:p>
    <w:p w:rsidR="000A698D" w:rsidRDefault="000A698D" w:rsidP="00CA2E44">
      <w:pPr>
        <w:numPr>
          <w:ilvl w:val="0"/>
          <w:numId w:val="86"/>
        </w:numPr>
      </w:pPr>
      <w:r>
        <w:t>La escasez y limitada oferta de agua, la vulnerabilidad del acuífero a la contaminación y la creciente demanda de agua.</w:t>
      </w:r>
    </w:p>
    <w:p w:rsidR="000A698D" w:rsidRDefault="000A698D" w:rsidP="00CA2E44">
      <w:pPr>
        <w:numPr>
          <w:ilvl w:val="0"/>
          <w:numId w:val="86"/>
        </w:numPr>
      </w:pPr>
      <w:r>
        <w:t>Abatimientos locales de 1 a 6 metros en los estados de Puebla y Tlaxcala y de 2 a 4 metros en Veracruz.</w:t>
      </w:r>
    </w:p>
    <w:p w:rsidR="000A698D" w:rsidRDefault="000A698D" w:rsidP="00CA2E44">
      <w:pPr>
        <w:numPr>
          <w:ilvl w:val="0"/>
          <w:numId w:val="86"/>
        </w:numPr>
      </w:pPr>
      <w:r>
        <w:t>Creciente competencia por el agua.</w:t>
      </w:r>
    </w:p>
    <w:p w:rsidR="000A698D" w:rsidRDefault="000A698D" w:rsidP="00CA2E44">
      <w:pPr>
        <w:numPr>
          <w:ilvl w:val="0"/>
          <w:numId w:val="86"/>
        </w:numPr>
      </w:pPr>
      <w:r>
        <w:t xml:space="preserve">Alta concentración de pozos en la zona de los municipios de Huamantla y </w:t>
      </w:r>
      <w:proofErr w:type="spellStart"/>
      <w:r>
        <w:t>Cuapiaxtla</w:t>
      </w:r>
      <w:proofErr w:type="spellEnd"/>
      <w:r>
        <w:t xml:space="preserve">, en el estado de Tlaxcala.    </w:t>
      </w:r>
    </w:p>
    <w:p w:rsidR="000A698D" w:rsidRDefault="000A698D" w:rsidP="00CA2E44">
      <w:pPr>
        <w:numPr>
          <w:ilvl w:val="0"/>
          <w:numId w:val="86"/>
        </w:numPr>
      </w:pPr>
      <w:r>
        <w:t xml:space="preserve">Signos de contaminación por nitratos en pequeñas zonas de los municipios de Huamantla, </w:t>
      </w:r>
      <w:proofErr w:type="spellStart"/>
      <w:r>
        <w:t>Cuapiaxtla</w:t>
      </w:r>
      <w:proofErr w:type="spellEnd"/>
      <w:r>
        <w:t xml:space="preserve">, </w:t>
      </w:r>
      <w:proofErr w:type="spellStart"/>
      <w:r>
        <w:t>Altzayanca</w:t>
      </w:r>
      <w:proofErr w:type="spellEnd"/>
      <w:r>
        <w:t>, El Carmen y Trinidad Sánchez Santos.</w:t>
      </w:r>
    </w:p>
    <w:p w:rsidR="000A698D" w:rsidRDefault="000A698D" w:rsidP="00CA2E44">
      <w:pPr>
        <w:numPr>
          <w:ilvl w:val="0"/>
          <w:numId w:val="86"/>
        </w:numPr>
      </w:pPr>
      <w:r>
        <w:t>Alta vulnerabilidad del acuífero a la contaminación.</w:t>
      </w:r>
    </w:p>
    <w:p w:rsidR="000A698D" w:rsidRDefault="000A698D" w:rsidP="000A698D">
      <w:r>
        <w:t>Asimismo, se enfatiza que el 73 % de los pozos son utilizados con fines agrícolas y que hasta el año de 1998, las nuevas concesiones eran otorgadas en base a la veda "Oriental de Puebla".</w:t>
      </w:r>
    </w:p>
    <w:p w:rsidR="000A698D" w:rsidRPr="00B17E82" w:rsidRDefault="000A698D" w:rsidP="008011C2">
      <w:pPr>
        <w:outlineLvl w:val="0"/>
        <w:rPr>
          <w:i/>
          <w:u w:val="single"/>
        </w:rPr>
      </w:pPr>
      <w:r w:rsidRPr="00B17E82">
        <w:rPr>
          <w:i/>
          <w:u w:val="single"/>
        </w:rPr>
        <w:t>Los efectos adversos del aprovechamiento y de la contaminación</w:t>
      </w:r>
    </w:p>
    <w:p w:rsidR="000A698D" w:rsidRDefault="000A698D" w:rsidP="000A698D">
      <w:r>
        <w:t>En principio, el acuífero en general se encuentra en cuencas que en su mayoría son endorreicas, con un drenaje a sistemas lagunares.   Esta situación, conjugada con la dispersión</w:t>
      </w:r>
      <w:r w:rsidR="009A4AA3">
        <w:t xml:space="preserve"> de los aprovechamientos, hace </w:t>
      </w:r>
      <w:r>
        <w:t xml:space="preserve">que en general este acuífero se encuentre en estado libre, y se presente somero y muy vulnerable a la contaminación lagunar, y a la vez, susceptible a los cambios en el esquema de funcionamiento hidrodinámico, que tienden a revertir el flujo, el cual originalmente tendía a descargar agua del sistema, empleando para ello las lagunas Totolcingo y Tepeyahualco, para en la actualidad, transformarlas en zonas de recarga.  Las antiguas zonas de descarga presentan la mayor concentración de minerales y por consiguiente de salinidad, su actual papel como zonas de recarga, además de constituir un factor para la reducción de las dimensiones </w:t>
      </w:r>
      <w:r>
        <w:lastRenderedPageBreak/>
        <w:t>de las lagunas, implica también la formación de un sistema de flujo que conlleva un proceso de contaminación natural desde las lagunas hacia las zonas someras del acuífero.</w:t>
      </w:r>
    </w:p>
    <w:p w:rsidR="000A698D" w:rsidRDefault="000A698D" w:rsidP="000A698D">
      <w:r>
        <w:t xml:space="preserve">La contaminación de las lagunas por descargas de origen </w:t>
      </w:r>
      <w:proofErr w:type="spellStart"/>
      <w:r>
        <w:t>antropogénico</w:t>
      </w:r>
      <w:proofErr w:type="spellEnd"/>
      <w:r>
        <w:t>, constituyen también un importante riesgo para la calidad del agua subterránea.</w:t>
      </w:r>
    </w:p>
    <w:p w:rsidR="000A698D" w:rsidRDefault="000A698D" w:rsidP="000A698D">
      <w:r>
        <w:t>En general, existe una clara deficiencia en capacidad de control y vigilancia de las condiciones de aprovechamiento y contaminación de los cuerpos de agua, situación que ocurre en la generalidad de las dependencias relacionadas con el cuidado del agua y del ambiente.  Esta situación no es particular de este acuífero, sino más bien es una situación característica de la generalidad de los países que en las últimas décadas han enfrentado la responsabilidad de cuidar del equilibrio ambiental ante la serie de cambios que la actividad humana ha causado a su entorno.</w:t>
      </w:r>
    </w:p>
    <w:p w:rsidR="000A698D" w:rsidRPr="004B29A1" w:rsidRDefault="000A698D" w:rsidP="008011C2">
      <w:pPr>
        <w:outlineLvl w:val="0"/>
        <w:rPr>
          <w:i/>
          <w:u w:val="single"/>
        </w:rPr>
      </w:pPr>
      <w:r w:rsidRPr="004B29A1">
        <w:rPr>
          <w:i/>
          <w:u w:val="single"/>
        </w:rPr>
        <w:t>La visualización del acuífero Libres-Oriental, como una fuente alterna para grandes ciudades.</w:t>
      </w:r>
    </w:p>
    <w:p w:rsidR="000A698D" w:rsidRDefault="000A698D" w:rsidP="000A698D">
      <w:r>
        <w:t>Tanto las ciudades de Puebla como la Ciudad de México, han visto este acuífero como una potencial fuente alterna de abastecimiento; esta situación actualmente representa un riesgo, ya que se carece de condiciones definidas y probadas que eviten un desequilibrio en este acuífero como consecuencia de esos proyectos.  Adicionalmente, los antecedentes de sistemas como Lerma y Cutzamala, las implicaciones que han tenido en las cuencas donadoras de agua y la aún deficiente cultura del agua en las ciudades que aspiran a contar con nuevos volúmenes, desalientan y predisponen a los habitantes que actualmente viven sobre los acuíferos del Valle de Libres.</w:t>
      </w:r>
    </w:p>
    <w:p w:rsidR="00517BFB" w:rsidRPr="00A37005" w:rsidRDefault="00517BFB" w:rsidP="000A698D">
      <w:r>
        <w:t>En concreto, los acuíferos de Huamantla y Libres Oriental están actualmente sobreexplotados y no deben donar agua a otras cuencas o comprometerán en forma grave su funcionamiento sustentable.</w:t>
      </w:r>
    </w:p>
    <w:p w:rsidR="006D35B9" w:rsidRDefault="006D35B9" w:rsidP="008011C2">
      <w:pPr>
        <w:pStyle w:val="Ttulo2"/>
      </w:pPr>
      <w:bookmarkStart w:id="10" w:name="_Toc283886434"/>
      <w:r>
        <w:t>Justificación</w:t>
      </w:r>
      <w:bookmarkEnd w:id="10"/>
      <w:r>
        <w:t xml:space="preserve"> </w:t>
      </w:r>
    </w:p>
    <w:p w:rsidR="00517BFB" w:rsidRPr="00517BFB" w:rsidRDefault="00D0173A" w:rsidP="00517BFB">
      <w:r>
        <w:t>Los acuíferos de Huamantla, Libres – Oriental y Perote, forman una unidad hidrogeológica continua, sin embargo, las áreas de Huamantla y Libres – Oriental están sobreexplotadas.  Ambos acuíferos son de gran importancia para la región y para el país y dado el ritmo moderado de degradación de éstos, es posible definir y aplicar medidas preventivas y correctivas para promover y asegurar un manejo sustentable en los años siguientes.</w:t>
      </w:r>
    </w:p>
    <w:p w:rsidR="00931C8D" w:rsidRPr="00517BFB" w:rsidRDefault="00931C8D" w:rsidP="008011C2">
      <w:pPr>
        <w:outlineLvl w:val="0"/>
        <w:rPr>
          <w:rStyle w:val="Textoennegrita"/>
        </w:rPr>
      </w:pPr>
      <w:r w:rsidRPr="00517BFB">
        <w:rPr>
          <w:rStyle w:val="Textoennegrita"/>
        </w:rPr>
        <w:t>Justificación Técnica</w:t>
      </w:r>
    </w:p>
    <w:p w:rsidR="00BD2DB4" w:rsidRPr="001D5022" w:rsidRDefault="00BD2DB4" w:rsidP="00512F5E">
      <w:r w:rsidRPr="001D5022">
        <w:t>La importancia que reviste el acuífero HLOP radica en que es la mayor fuente de aprovechamientos hídricos para la parte oriental del estado de Tlaxcala, centro del estado de Puebla y centro-occidente del estado de Veracruz. Dadas sus características fisiográficas intrínsecas, hidrológicamente presenta zonas de captación de agua de lluvia en</w:t>
      </w:r>
      <w:r w:rsidR="00903926" w:rsidRPr="001D5022">
        <w:t xml:space="preserve"> lo que corresponde a su periferia, </w:t>
      </w:r>
      <w:r w:rsidRPr="001D5022">
        <w:t>pero dicha precipitación se va haciendo escasa conforme se llega al centro de</w:t>
      </w:r>
      <w:r w:rsidR="00903926" w:rsidRPr="001D5022">
        <w:t xml:space="preserve">l mismo. </w:t>
      </w:r>
      <w:r w:rsidRPr="001D5022">
        <w:t xml:space="preserve">Las condiciones hidrológicas son tales, que prácticamente está ausente el flujo hidrológico superficial, el cual </w:t>
      </w:r>
      <w:r w:rsidR="00903926" w:rsidRPr="001D5022">
        <w:t xml:space="preserve">únicamente </w:t>
      </w:r>
      <w:r w:rsidRPr="001D5022">
        <w:t xml:space="preserve">está representado por esporádicos o temporales </w:t>
      </w:r>
      <w:r w:rsidRPr="001D5022">
        <w:lastRenderedPageBreak/>
        <w:t xml:space="preserve">corrientes </w:t>
      </w:r>
      <w:r w:rsidR="00903926" w:rsidRPr="001D5022">
        <w:t>de agua que alimentan</w:t>
      </w:r>
      <w:r w:rsidRPr="001D5022">
        <w:t xml:space="preserve"> escasos </w:t>
      </w:r>
      <w:r w:rsidR="00903926" w:rsidRPr="001D5022">
        <w:t xml:space="preserve">almacenamientos del líquido, tal como es el caso de la Laguna de </w:t>
      </w:r>
      <w:proofErr w:type="spellStart"/>
      <w:r w:rsidR="00903926" w:rsidRPr="001D5022">
        <w:t>Totolzingo</w:t>
      </w:r>
      <w:proofErr w:type="spellEnd"/>
      <w:r w:rsidR="00903926" w:rsidRPr="001D5022">
        <w:t xml:space="preserve">. </w:t>
      </w:r>
      <w:r w:rsidRPr="001D5022">
        <w:t xml:space="preserve"> </w:t>
      </w:r>
    </w:p>
    <w:p w:rsidR="00903926" w:rsidRPr="001D5022" w:rsidRDefault="00903926" w:rsidP="00512F5E">
      <w:r w:rsidRPr="001D5022">
        <w:t>Así pues, también se reconoce que en el área de influencia del acuífero HLOP, se desarrolla una importante actividad agrícola, pecuaria, industrial y social para la parte centro-oriental de la República Mexicana, esto implica la presencia, si bien, no dentro del acuífero HLOP, de zonas metropolitanas de importancia tales como la ZM de Puebla-Tlaxcala y la de Xalapa, Veracruz, las cuales demandan insumos que son generados en la región que nos compete, con el consabido impacto en las condiciones hidrológicas</w:t>
      </w:r>
      <w:r w:rsidR="00754A29" w:rsidRPr="001D5022">
        <w:t>.</w:t>
      </w:r>
    </w:p>
    <w:p w:rsidR="00754A29" w:rsidRPr="001D5022" w:rsidRDefault="00F15D16" w:rsidP="00512F5E">
      <w:r w:rsidRPr="001D5022">
        <w:t>Por lo anterior, es necesario reconsiderar el ritmo de aprovechami</w:t>
      </w:r>
      <w:r w:rsidR="00F3534D">
        <w:t xml:space="preserve">entos tanto para el uso público </w:t>
      </w:r>
      <w:r w:rsidRPr="001D5022">
        <w:t>ur</w:t>
      </w:r>
      <w:r w:rsidR="00F80B59">
        <w:t>bano como para el uso agrícola -</w:t>
      </w:r>
      <w:r w:rsidRPr="001D5022">
        <w:t>sobre todo este último</w:t>
      </w:r>
      <w:r w:rsidR="00F80B59">
        <w:t>-</w:t>
      </w:r>
      <w:r w:rsidRPr="001D5022">
        <w:t xml:space="preserve">, el cual demanda volúmenes </w:t>
      </w:r>
      <w:r w:rsidR="00EF3DBA" w:rsidRPr="001D5022">
        <w:t xml:space="preserve">extraordinarios de agua subterránea, así pues, la no atención en los aspectos de conservación de aguas subterránea pone en peligro la continuidad de los procesos productivos en el sector social, agrícola, pecuario e industrial. </w:t>
      </w:r>
    </w:p>
    <w:p w:rsidR="00931C8D" w:rsidRPr="001D5022" w:rsidRDefault="00EF3DBA" w:rsidP="00512F5E">
      <w:r w:rsidRPr="001D5022">
        <w:t>De tal forma, e</w:t>
      </w:r>
      <w:r w:rsidR="00F80B59">
        <w:t>l Plan de Manejo de las Aguas S</w:t>
      </w:r>
      <w:r w:rsidR="00931C8D" w:rsidRPr="001D5022">
        <w:t xml:space="preserve">ubterráneas en el </w:t>
      </w:r>
      <w:r w:rsidR="00F80B59">
        <w:t>A</w:t>
      </w:r>
      <w:r w:rsidR="00931C8D" w:rsidRPr="001D5022">
        <w:t xml:space="preserve">cuífero Huamantla-Libres Oriental-Perote se circunscribe dentro de un marco técnico que tiene como finalidad el manejo sustentable del recurso hídrico en la zona que nos ocupa. Así, el Plan procura: </w:t>
      </w:r>
    </w:p>
    <w:p w:rsidR="00931C8D" w:rsidRPr="001D5022" w:rsidRDefault="00931C8D" w:rsidP="005A60C0">
      <w:pPr>
        <w:numPr>
          <w:ilvl w:val="0"/>
          <w:numId w:val="83"/>
        </w:numPr>
      </w:pPr>
      <w:r w:rsidRPr="001D5022">
        <w:t xml:space="preserve">Ser el elemento rector para el aprovechamiento de aguas subterráneas con la visión de hacer de su uso, la herramienta de competitividad social y productiva en las regiones específicas de los estados de Tlaxcala, Puebla y Veracruz. </w:t>
      </w:r>
    </w:p>
    <w:p w:rsidR="00931C8D" w:rsidRPr="001D5022" w:rsidRDefault="00931C8D" w:rsidP="005A60C0">
      <w:pPr>
        <w:numPr>
          <w:ilvl w:val="0"/>
          <w:numId w:val="83"/>
        </w:numPr>
      </w:pPr>
      <w:r w:rsidRPr="001D5022">
        <w:t>Reorientar los esquemas de aprovechamiento para detener en primer instancia, y posteriormente, permitir la recuperación de las zonas de extracción superior a la recarga.</w:t>
      </w:r>
    </w:p>
    <w:p w:rsidR="00931C8D" w:rsidRPr="001D5022" w:rsidRDefault="00BD2DB4" w:rsidP="005A60C0">
      <w:pPr>
        <w:numPr>
          <w:ilvl w:val="0"/>
          <w:numId w:val="83"/>
        </w:numPr>
      </w:pPr>
      <w:r w:rsidRPr="001D5022">
        <w:t xml:space="preserve">Mantener la calidad de agua subterránea evitando el agotamiento de las reservas, controlando y </w:t>
      </w:r>
      <w:r w:rsidR="00D90E73" w:rsidRPr="001D5022">
        <w:t xml:space="preserve">disminuyendo la contaminación del subsuelo así como el uso de insumos agropecuarios, permitirá esquemas de </w:t>
      </w:r>
      <w:r w:rsidR="00931C8D" w:rsidRPr="001D5022">
        <w:t>aprovechamiento de largo plazo sin deterioro</w:t>
      </w:r>
      <w:r w:rsidRPr="001D5022">
        <w:t xml:space="preserve"> de la fuente de abastecimiento</w:t>
      </w:r>
      <w:r w:rsidR="00931C8D" w:rsidRPr="001D5022">
        <w:t>.</w:t>
      </w:r>
    </w:p>
    <w:p w:rsidR="00931C8D" w:rsidRPr="00517BFB" w:rsidRDefault="00931C8D" w:rsidP="008011C2">
      <w:pPr>
        <w:outlineLvl w:val="0"/>
        <w:rPr>
          <w:rStyle w:val="Textoennegrita"/>
        </w:rPr>
      </w:pPr>
      <w:r w:rsidRPr="00517BFB">
        <w:rPr>
          <w:rStyle w:val="Textoennegrita"/>
        </w:rPr>
        <w:t>Justificación socioeconómica</w:t>
      </w:r>
    </w:p>
    <w:p w:rsidR="006A18FA" w:rsidRPr="001D5022" w:rsidRDefault="00F80B59" w:rsidP="00512F5E">
      <w:r>
        <w:t>L</w:t>
      </w:r>
      <w:r w:rsidR="006A18FA" w:rsidRPr="001D5022">
        <w:t xml:space="preserve">a zona de influencia del acuífero HLOP se presenta como una importante zona de actividad agrícola con los sabidos beneficios para la sociedad que directa o indirectamente interactúan constantemente con ella. </w:t>
      </w:r>
    </w:p>
    <w:p w:rsidR="006A18FA" w:rsidRPr="001D5022" w:rsidRDefault="006A18FA" w:rsidP="00A13AEF">
      <w:r w:rsidRPr="001D5022">
        <w:lastRenderedPageBreak/>
        <w:t xml:space="preserve">Se sabe que el PIB aproximado de la zona es de </w:t>
      </w:r>
      <w:r w:rsidR="00B17B28">
        <w:t>31,679 MDP</w:t>
      </w:r>
      <w:r w:rsidR="00E949D7">
        <w:rPr>
          <w:rStyle w:val="Refdenotaalpie"/>
        </w:rPr>
        <w:footnoteReference w:id="1"/>
      </w:r>
      <w:r w:rsidR="00B17B28">
        <w:t xml:space="preserve"> al año 2005</w:t>
      </w:r>
      <w:r w:rsidRPr="001D5022">
        <w:t xml:space="preserve"> y que con una población global </w:t>
      </w:r>
      <w:r w:rsidR="008F4706">
        <w:t xml:space="preserve">al 2005 </w:t>
      </w:r>
      <w:r w:rsidRPr="001D5022">
        <w:t xml:space="preserve">de </w:t>
      </w:r>
      <w:r w:rsidR="00A13AEF">
        <w:t>627,572</w:t>
      </w:r>
      <w:r w:rsidRPr="001D5022">
        <w:t xml:space="preserve"> habitantes, se identifica inmediatamente la necesidad de asegurar la continuidad e incremento productivo del agua en la región. Así también, se prevé que la población</w:t>
      </w:r>
      <w:r w:rsidR="00A13AEF">
        <w:t xml:space="preserve"> se incrementa</w:t>
      </w:r>
      <w:r w:rsidR="008F4706">
        <w:t>ra un 77% en el periodo 2009-204</w:t>
      </w:r>
      <w:r w:rsidR="00A13AEF">
        <w:t xml:space="preserve">0, calculándose un aumento de </w:t>
      </w:r>
      <w:r w:rsidR="008F4706">
        <w:t>223,989</w:t>
      </w:r>
      <w:r w:rsidR="00A13AEF">
        <w:t xml:space="preserve"> habitantes </w:t>
      </w:r>
      <w:r w:rsidRPr="001D5022">
        <w:t>por lo que el desarrollo del Plan de Manejo permitirá dar sustento a la población circunscrita al acuífero, así como a la que se encuentra cercana a él, permitiendo además se</w:t>
      </w:r>
      <w:r w:rsidR="00E949D7">
        <w:t>r</w:t>
      </w:r>
      <w:r w:rsidRPr="001D5022">
        <w:t xml:space="preserve"> un elemento de estabilidad social para la región. </w:t>
      </w:r>
    </w:p>
    <w:p w:rsidR="00E949D7" w:rsidRPr="00D90E73" w:rsidRDefault="00376D20" w:rsidP="00E949D7">
      <w:pPr>
        <w:rPr>
          <w:i/>
          <w:color w:val="FF0000"/>
        </w:rPr>
      </w:pPr>
      <w:r>
        <w:t>Los dos sectores básicos consumidores de agua del acuífero son: el sector agrícola que representa el 8</w:t>
      </w:r>
      <w:r w:rsidR="009A4AA3">
        <w:t>5.0</w:t>
      </w:r>
      <w:r>
        <w:t xml:space="preserve">% del volumen concesionado y el uso público urbano el </w:t>
      </w:r>
      <w:r w:rsidR="009A4AA3">
        <w:t>10.0</w:t>
      </w:r>
      <w:r>
        <w:t xml:space="preserve">%. Todos los demás usos (industrial, pecuario, etc.) suman el </w:t>
      </w:r>
      <w:r w:rsidR="009A4AA3">
        <w:t>5.0</w:t>
      </w:r>
      <w:r>
        <w:t>% restante.</w:t>
      </w:r>
      <w:r w:rsidR="00E949D7">
        <w:t xml:space="preserve"> Las extracciones c</w:t>
      </w:r>
      <w:r w:rsidR="009A4AA3">
        <w:t>oncesionadas</w:t>
      </w:r>
      <w:r w:rsidR="00E949D7">
        <w:t xml:space="preserve"> ascienden a 2</w:t>
      </w:r>
      <w:r w:rsidR="009A4AA3">
        <w:t>46.3</w:t>
      </w:r>
      <w:r w:rsidR="00E949D7">
        <w:t xml:space="preserve"> Mm³. </w:t>
      </w:r>
    </w:p>
    <w:p w:rsidR="00931C8D" w:rsidRPr="001D5022" w:rsidRDefault="00931C8D" w:rsidP="00512F5E">
      <w:r w:rsidRPr="001D5022">
        <w:t xml:space="preserve">Lo anterior, denota la necesidad socioeconómica de una estrategia para el manejo del acuífero plasmada en un Plan de Manejo.    </w:t>
      </w:r>
    </w:p>
    <w:p w:rsidR="00931C8D" w:rsidRPr="00517BFB" w:rsidRDefault="00931C8D" w:rsidP="008011C2">
      <w:pPr>
        <w:outlineLvl w:val="0"/>
        <w:rPr>
          <w:rStyle w:val="Textoennegrita"/>
        </w:rPr>
      </w:pPr>
      <w:r w:rsidRPr="00517BFB">
        <w:rPr>
          <w:rStyle w:val="Textoennegrita"/>
        </w:rPr>
        <w:t>Justificación Legal</w:t>
      </w:r>
    </w:p>
    <w:p w:rsidR="00931C8D" w:rsidRPr="001D5022" w:rsidRDefault="00931C8D" w:rsidP="00512F5E">
      <w:r w:rsidRPr="001D5022">
        <w:t>El Plan de Manejo es un instrumento indispensable para fundamentar:</w:t>
      </w:r>
    </w:p>
    <w:p w:rsidR="00931C8D" w:rsidRPr="001D5022" w:rsidRDefault="00931C8D" w:rsidP="00512F5E">
      <w:r w:rsidRPr="001D5022">
        <w:t>1.</w:t>
      </w:r>
      <w:r w:rsidRPr="001D5022">
        <w:tab/>
        <w:t>Un Reglamento del Acuífero, acorde con las necesidades integrales en té</w:t>
      </w:r>
      <w:r w:rsidR="00816BA9">
        <w:t>rminos de sustentabilidad.  El r</w:t>
      </w:r>
      <w:r w:rsidRPr="001D5022">
        <w:t>eglamento es</w:t>
      </w:r>
      <w:r w:rsidR="00F27AEF" w:rsidRPr="001D5022">
        <w:t>,</w:t>
      </w:r>
      <w:r w:rsidRPr="001D5022">
        <w:t xml:space="preserve"> a su vez</w:t>
      </w:r>
      <w:r w:rsidR="00F27AEF" w:rsidRPr="001D5022">
        <w:t>,</w:t>
      </w:r>
      <w:r w:rsidRPr="001D5022">
        <w:t xml:space="preserve"> el recurso fundamental de compromiso entre los usuarios y las autoridades dentro del ámbito de la Ley de Aguas Nacionales.</w:t>
      </w:r>
    </w:p>
    <w:p w:rsidR="00931C8D" w:rsidRPr="001D5022" w:rsidRDefault="00931C8D" w:rsidP="00512F5E">
      <w:r w:rsidRPr="001D5022">
        <w:t>2.</w:t>
      </w:r>
      <w:r w:rsidRPr="001D5022">
        <w:tab/>
        <w:t>La zonificación del acuífero para una caracterización de las estrategias acorde a la situación de las distintas áreas geográficas circunscritas.</w:t>
      </w:r>
    </w:p>
    <w:p w:rsidR="00931C8D" w:rsidRPr="001D5022" w:rsidRDefault="00931C8D" w:rsidP="00512F5E">
      <w:r w:rsidRPr="001D5022">
        <w:t>3.</w:t>
      </w:r>
      <w:r w:rsidRPr="001D5022">
        <w:tab/>
        <w:t>Las prioridades en términos de ordenamiento, parámetros por medir y criterios de cuantificación de las extracciones.</w:t>
      </w:r>
    </w:p>
    <w:p w:rsidR="00931C8D" w:rsidRPr="001D5022" w:rsidRDefault="00931C8D" w:rsidP="00512F5E">
      <w:r w:rsidRPr="001D5022">
        <w:t>4.</w:t>
      </w:r>
      <w:r w:rsidRPr="001D5022">
        <w:tab/>
        <w:t>La definición de estrategias de acción durante períodos de escasez o sequía extrema.</w:t>
      </w:r>
    </w:p>
    <w:p w:rsidR="00931C8D" w:rsidRPr="001D5022" w:rsidRDefault="00931C8D" w:rsidP="00512F5E">
      <w:r w:rsidRPr="001D5022">
        <w:t>5.</w:t>
      </w:r>
      <w:r w:rsidRPr="001D5022">
        <w:tab/>
        <w:t>Proponer los criterios para llevar a cabo un banco de derechos a favor del acuífero fundamentado en un ordenamiento y control estadístico de las extracciones, que proteja la prioridad y prelación del agua.</w:t>
      </w:r>
    </w:p>
    <w:p w:rsidR="003D6784" w:rsidRDefault="002C7DA3" w:rsidP="008011C2">
      <w:pPr>
        <w:pStyle w:val="Ttulo2"/>
      </w:pPr>
      <w:bookmarkStart w:id="11" w:name="_Toc283886435"/>
      <w:r>
        <w:t>Nombre</w:t>
      </w:r>
      <w:bookmarkEnd w:id="11"/>
    </w:p>
    <w:p w:rsidR="002C7DA3" w:rsidRDefault="00AC2CCF" w:rsidP="002C7DA3">
      <w:r>
        <w:t>Plan de Manejo Integrado para el Aprovechamiento Sostenible del Agua en el Área de Influencia del Acuífero Huamantla-Libres Oriental-Perote.</w:t>
      </w:r>
    </w:p>
    <w:p w:rsidR="002C7DA3" w:rsidRPr="002C7DA3" w:rsidRDefault="002C7DA3" w:rsidP="008011C2">
      <w:pPr>
        <w:pStyle w:val="Ttulo2"/>
      </w:pPr>
      <w:bookmarkStart w:id="12" w:name="_Toc283886436"/>
      <w:r>
        <w:lastRenderedPageBreak/>
        <w:t>Ubicación y delimitación geográfica</w:t>
      </w:r>
      <w:bookmarkEnd w:id="12"/>
    </w:p>
    <w:p w:rsidR="002C7DA3" w:rsidRPr="001D5022" w:rsidRDefault="002C7DA3" w:rsidP="00512F5E">
      <w:r w:rsidRPr="001D5022">
        <w:t>La zona de interés comprende extensiones de tres estados: oriente de Tlaxcala, centro de Puebla y centro-poniente de Veracruz. Administrativamente, un acuífero (Perote-Zalayeta) pertenece al Organismo de Cuenca Golfo Centro (Región X), mientras que los acuíferos Huamantla y Libres-Oriental su ubican dentro del Organismo de Cuenca Balsas (Región IV). Las subregiones de planeación involucradas son: Alto Balsas (OC Balsas), Veracruz Centro y Veracruz Norte (OC Golfo Centro).</w:t>
      </w:r>
    </w:p>
    <w:p w:rsidR="002C7DA3" w:rsidRPr="001D5022" w:rsidRDefault="002C7DA3" w:rsidP="00512F5E">
      <w:r w:rsidRPr="001D5022">
        <w:t>Existen 44 municipios participando parcialmente o totalmente en el perímetro de los tres acuíferos, 28 dentro del estado de Puebla, 9 en Tlaxcala y 7 en Veracruz (</w:t>
      </w:r>
      <w:fldSimple w:instr=" REF _Ref241046018 \r \h  \* MERGEFORMAT ">
        <w:r w:rsidR="001C36B4">
          <w:t>Tabla 1.1</w:t>
        </w:r>
      </w:fldSimple>
      <w:r w:rsidRPr="001D5022">
        <w:t>).</w:t>
      </w:r>
    </w:p>
    <w:p w:rsidR="002C7DA3" w:rsidRDefault="002C7DA3" w:rsidP="008011C2">
      <w:pPr>
        <w:pStyle w:val="tabla1cap1"/>
        <w:outlineLvl w:val="0"/>
      </w:pPr>
      <w:bookmarkStart w:id="13" w:name="_Ref241046018"/>
      <w:r>
        <w:t>Relación de municipios con participación directa o parcial</w:t>
      </w:r>
      <w:bookmarkEnd w:id="13"/>
    </w:p>
    <w:tbl>
      <w:tblPr>
        <w:tblW w:w="0" w:type="auto"/>
        <w:jc w:val="center"/>
        <w:tblBorders>
          <w:top w:val="single" w:sz="12" w:space="0" w:color="008000"/>
          <w:bottom w:val="single" w:sz="12" w:space="0" w:color="008000"/>
        </w:tblBorders>
        <w:tblLook w:val="04A0"/>
      </w:tblPr>
      <w:tblGrid>
        <w:gridCol w:w="961"/>
        <w:gridCol w:w="936"/>
        <w:gridCol w:w="1101"/>
        <w:gridCol w:w="3206"/>
        <w:gridCol w:w="1275"/>
        <w:gridCol w:w="1575"/>
      </w:tblGrid>
      <w:tr w:rsidR="002C7DA3" w:rsidRPr="00B01A36" w:rsidTr="00365E0C">
        <w:trPr>
          <w:tblHeader/>
          <w:jc w:val="center"/>
        </w:trPr>
        <w:tc>
          <w:tcPr>
            <w:tcW w:w="961" w:type="dxa"/>
            <w:tcBorders>
              <w:bottom w:val="single" w:sz="6" w:space="0" w:color="008000"/>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Acuífero</w:t>
            </w:r>
          </w:p>
        </w:tc>
        <w:tc>
          <w:tcPr>
            <w:tcW w:w="936" w:type="dxa"/>
            <w:tcBorders>
              <w:bottom w:val="single" w:sz="6" w:space="0" w:color="008000"/>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Clave</w:t>
            </w:r>
          </w:p>
        </w:tc>
        <w:tc>
          <w:tcPr>
            <w:tcW w:w="1101" w:type="dxa"/>
            <w:tcBorders>
              <w:bottom w:val="single" w:sz="6" w:space="0" w:color="008000"/>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Estado</w:t>
            </w:r>
          </w:p>
        </w:tc>
        <w:tc>
          <w:tcPr>
            <w:tcW w:w="3206" w:type="dxa"/>
            <w:tcBorders>
              <w:bottom w:val="single" w:sz="6" w:space="0" w:color="008000"/>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Municipio</w:t>
            </w:r>
          </w:p>
        </w:tc>
        <w:tc>
          <w:tcPr>
            <w:tcW w:w="1275" w:type="dxa"/>
            <w:tcBorders>
              <w:bottom w:val="single" w:sz="6" w:space="0" w:color="008000"/>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Organismo de Cuenca</w:t>
            </w:r>
          </w:p>
        </w:tc>
        <w:tc>
          <w:tcPr>
            <w:tcW w:w="1575" w:type="dxa"/>
            <w:tcBorders>
              <w:bottom w:val="single" w:sz="6" w:space="0" w:color="008000"/>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Subregión de Planeación</w:t>
            </w:r>
          </w:p>
        </w:tc>
      </w:tr>
      <w:tr w:rsidR="002C7DA3" w:rsidRPr="00B01A36" w:rsidTr="00365E0C">
        <w:trPr>
          <w:jc w:val="center"/>
        </w:trPr>
        <w:tc>
          <w:tcPr>
            <w:tcW w:w="961" w:type="dxa"/>
            <w:vMerge w:val="restart"/>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( 2102) Libres-Oriental</w:t>
            </w: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21001</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Acajete</w:t>
            </w:r>
            <w:proofErr w:type="spellEnd"/>
          </w:p>
        </w:tc>
        <w:tc>
          <w:tcPr>
            <w:tcW w:w="1275" w:type="dxa"/>
            <w:vMerge w:val="restart"/>
            <w:shd w:val="clear" w:color="auto" w:fill="auto"/>
            <w:vAlign w:val="center"/>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Balsas</w:t>
            </w: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21012</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Aljojuca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21044</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Cuyuaco</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21045</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Chalcicomula</w:t>
            </w:r>
            <w:proofErr w:type="spellEnd"/>
            <w:r w:rsidRPr="00A777DC">
              <w:rPr>
                <w:rFonts w:cs="Arial"/>
                <w:sz w:val="16"/>
                <w:szCs w:val="16"/>
              </w:rPr>
              <w:t xml:space="preserve"> de Sesma</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21050</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Chichiquila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21054</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Chignautla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21058</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Chilchotla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21065</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General Felipe Ángeles</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21067</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Guadalupe Victoria</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21083</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Ixtacamaxticlán</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21093</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Lafragua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21094</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Libres</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21096</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Mazapiltepec</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21104</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Nopalucan</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21105</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Ocotepec</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21108</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Oriental</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21115</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Quecholac</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21116</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Quimixtlan</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21117</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Rafael Lara Grajales</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21128</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 xml:space="preserve">San José </w:t>
            </w:r>
            <w:proofErr w:type="spellStart"/>
            <w:r w:rsidRPr="00A777DC">
              <w:rPr>
                <w:rFonts w:cs="Arial"/>
                <w:sz w:val="16"/>
                <w:szCs w:val="16"/>
              </w:rPr>
              <w:t>Chiapa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21130</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San Juan Atenco</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21137</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San Nicolás Buenos Aires</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21142</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Sal Salvador El Seco</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21152</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Soltepec</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21170</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Tepeyahualco</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21179</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Tlachichuca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21199</w:t>
            </w:r>
          </w:p>
        </w:tc>
        <w:tc>
          <w:tcPr>
            <w:tcW w:w="1101"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Xiutetelco</w:t>
            </w:r>
          </w:p>
        </w:tc>
        <w:tc>
          <w:tcPr>
            <w:tcW w:w="1275" w:type="dxa"/>
            <w:vMerge/>
            <w:tcBorders>
              <w:bottom w:val="nil"/>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21212</w:t>
            </w:r>
          </w:p>
        </w:tc>
        <w:tc>
          <w:tcPr>
            <w:tcW w:w="1101"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Puebla</w:t>
            </w:r>
          </w:p>
        </w:tc>
        <w:tc>
          <w:tcPr>
            <w:tcW w:w="3206"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Zautla</w:t>
            </w:r>
            <w:proofErr w:type="spellEnd"/>
          </w:p>
        </w:tc>
        <w:tc>
          <w:tcPr>
            <w:tcW w:w="1275" w:type="dxa"/>
            <w:vMerge/>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val="restart"/>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(2903) Huamantla</w:t>
            </w:r>
          </w:p>
        </w:tc>
        <w:tc>
          <w:tcPr>
            <w:tcW w:w="936"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29004</w:t>
            </w:r>
          </w:p>
        </w:tc>
        <w:tc>
          <w:tcPr>
            <w:tcW w:w="1101"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Altzayanca</w:t>
            </w:r>
            <w:proofErr w:type="spellEnd"/>
          </w:p>
        </w:tc>
        <w:tc>
          <w:tcPr>
            <w:tcW w:w="1275" w:type="dxa"/>
            <w:vMerge/>
            <w:tcBorders>
              <w:top w:val="single" w:sz="4" w:space="0" w:color="auto"/>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29007</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 xml:space="preserve">El Carmen </w:t>
            </w:r>
            <w:proofErr w:type="spellStart"/>
            <w:r w:rsidRPr="00A777DC">
              <w:rPr>
                <w:rFonts w:cs="Arial"/>
                <w:sz w:val="16"/>
                <w:szCs w:val="16"/>
              </w:rPr>
              <w:t>Tequexquitla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29008</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Cuapiaxtla</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29013</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Huamantla</w:t>
            </w:r>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29016</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Ixtenco</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29030</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Terrenate</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29035</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Tocotlán</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29037</w:t>
            </w:r>
          </w:p>
        </w:tc>
        <w:tc>
          <w:tcPr>
            <w:tcW w:w="1101"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Zitlaltepec</w:t>
            </w:r>
            <w:proofErr w:type="spellEnd"/>
            <w:r w:rsidRPr="00A777DC">
              <w:rPr>
                <w:rFonts w:cs="Arial"/>
                <w:sz w:val="16"/>
                <w:szCs w:val="16"/>
              </w:rPr>
              <w:t xml:space="preserve"> de Trinidad Sánchez Santos</w:t>
            </w:r>
          </w:p>
        </w:tc>
        <w:tc>
          <w:tcPr>
            <w:tcW w:w="1275" w:type="dxa"/>
            <w:vMerge/>
            <w:tcBorders>
              <w:bottom w:val="nil"/>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tcBorders>
              <w:bottom w:val="nil"/>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p>
        </w:tc>
        <w:tc>
          <w:tcPr>
            <w:tcW w:w="936"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29039</w:t>
            </w:r>
          </w:p>
        </w:tc>
        <w:tc>
          <w:tcPr>
            <w:tcW w:w="1101"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Tlaxcala</w:t>
            </w:r>
          </w:p>
        </w:tc>
        <w:tc>
          <w:tcPr>
            <w:tcW w:w="3206"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Xalostoc</w:t>
            </w:r>
            <w:proofErr w:type="spellEnd"/>
          </w:p>
        </w:tc>
        <w:tc>
          <w:tcPr>
            <w:tcW w:w="1275" w:type="dxa"/>
            <w:vMerge/>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jc w:val="center"/>
              <w:rPr>
                <w:rFonts w:cs="Arial"/>
                <w:sz w:val="16"/>
                <w:szCs w:val="16"/>
              </w:rPr>
            </w:pPr>
          </w:p>
        </w:tc>
        <w:tc>
          <w:tcPr>
            <w:tcW w:w="1575" w:type="dxa"/>
            <w:tcBorders>
              <w:top w:val="nil"/>
              <w:bottom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Alto Balsas</w:t>
            </w:r>
          </w:p>
        </w:tc>
      </w:tr>
      <w:tr w:rsidR="002C7DA3" w:rsidRPr="00B01A36" w:rsidTr="00365E0C">
        <w:trPr>
          <w:jc w:val="center"/>
        </w:trPr>
        <w:tc>
          <w:tcPr>
            <w:tcW w:w="961" w:type="dxa"/>
            <w:vMerge w:val="restart"/>
            <w:shd w:val="clear" w:color="auto" w:fill="auto"/>
            <w:textDirection w:val="btLr"/>
            <w:vAlign w:val="center"/>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(3004) Perote-Zalayeta</w:t>
            </w:r>
          </w:p>
        </w:tc>
        <w:tc>
          <w:tcPr>
            <w:tcW w:w="936"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30010</w:t>
            </w:r>
          </w:p>
        </w:tc>
        <w:tc>
          <w:tcPr>
            <w:tcW w:w="1101"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Altotonga</w:t>
            </w:r>
            <w:proofErr w:type="spellEnd"/>
          </w:p>
        </w:tc>
        <w:tc>
          <w:tcPr>
            <w:tcW w:w="1275" w:type="dxa"/>
            <w:vMerge w:val="restart"/>
            <w:tcBorders>
              <w:top w:val="single" w:sz="4" w:space="0" w:color="auto"/>
            </w:tcBorders>
            <w:shd w:val="clear" w:color="auto" w:fill="auto"/>
            <w:vAlign w:val="center"/>
          </w:tcPr>
          <w:p w:rsidR="002C7DA3" w:rsidRPr="00A777DC" w:rsidRDefault="002C7DA3" w:rsidP="00D1069F">
            <w:pPr>
              <w:tabs>
                <w:tab w:val="num" w:pos="1418"/>
              </w:tabs>
              <w:spacing w:after="60" w:line="240" w:lineRule="auto"/>
              <w:ind w:firstLine="0"/>
              <w:jc w:val="center"/>
              <w:rPr>
                <w:rFonts w:cs="Arial"/>
                <w:sz w:val="16"/>
                <w:szCs w:val="16"/>
              </w:rPr>
            </w:pPr>
            <w:r w:rsidRPr="00A777DC">
              <w:rPr>
                <w:rFonts w:cs="Arial"/>
                <w:sz w:val="16"/>
                <w:szCs w:val="16"/>
              </w:rPr>
              <w:t>Golfo Centro</w:t>
            </w:r>
          </w:p>
        </w:tc>
        <w:tc>
          <w:tcPr>
            <w:tcW w:w="1575" w:type="dxa"/>
            <w:tcBorders>
              <w:top w:val="single" w:sz="4" w:space="0" w:color="auto"/>
            </w:tcBorders>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Norte</w:t>
            </w:r>
          </w:p>
        </w:tc>
      </w:tr>
      <w:tr w:rsidR="002C7DA3" w:rsidRPr="00B01A36" w:rsidTr="00365E0C">
        <w:trPr>
          <w:jc w:val="center"/>
        </w:trPr>
        <w:tc>
          <w:tcPr>
            <w:tcW w:w="961"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30023</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Atzalan</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Norte</w:t>
            </w:r>
          </w:p>
        </w:tc>
      </w:tr>
      <w:tr w:rsidR="002C7DA3" w:rsidRPr="00B01A36" w:rsidTr="00365E0C">
        <w:trPr>
          <w:jc w:val="center"/>
        </w:trPr>
        <w:tc>
          <w:tcPr>
            <w:tcW w:w="961"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30025</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Ayahualulco</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Centro</w:t>
            </w:r>
          </w:p>
        </w:tc>
      </w:tr>
      <w:tr w:rsidR="002C7DA3" w:rsidRPr="00B01A36" w:rsidTr="00365E0C">
        <w:trPr>
          <w:jc w:val="center"/>
        </w:trPr>
        <w:tc>
          <w:tcPr>
            <w:tcW w:w="961"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30086</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proofErr w:type="spellStart"/>
            <w:r w:rsidRPr="00A777DC">
              <w:rPr>
                <w:rFonts w:cs="Arial"/>
                <w:sz w:val="16"/>
                <w:szCs w:val="16"/>
              </w:rPr>
              <w:t>Jalacingo</w:t>
            </w:r>
            <w:proofErr w:type="spellEnd"/>
          </w:p>
        </w:tc>
        <w:tc>
          <w:tcPr>
            <w:tcW w:w="1275"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Norte</w:t>
            </w:r>
          </w:p>
        </w:tc>
      </w:tr>
      <w:tr w:rsidR="002C7DA3" w:rsidRPr="00B01A36" w:rsidTr="00365E0C">
        <w:trPr>
          <w:jc w:val="center"/>
        </w:trPr>
        <w:tc>
          <w:tcPr>
            <w:tcW w:w="961"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30128</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Perote</w:t>
            </w:r>
          </w:p>
        </w:tc>
        <w:tc>
          <w:tcPr>
            <w:tcW w:w="1275"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Norte</w:t>
            </w:r>
          </w:p>
        </w:tc>
      </w:tr>
      <w:tr w:rsidR="002C7DA3" w:rsidRPr="00B01A36" w:rsidTr="00365E0C">
        <w:trPr>
          <w:jc w:val="center"/>
        </w:trPr>
        <w:tc>
          <w:tcPr>
            <w:tcW w:w="961"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30132</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Las Vigas de Ramírez</w:t>
            </w:r>
          </w:p>
        </w:tc>
        <w:tc>
          <w:tcPr>
            <w:tcW w:w="1275"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Centro</w:t>
            </w:r>
          </w:p>
        </w:tc>
      </w:tr>
      <w:tr w:rsidR="002C7DA3" w:rsidRPr="00B01A36" w:rsidTr="00365E0C">
        <w:trPr>
          <w:jc w:val="center"/>
        </w:trPr>
        <w:tc>
          <w:tcPr>
            <w:tcW w:w="961"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93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30194</w:t>
            </w:r>
          </w:p>
        </w:tc>
        <w:tc>
          <w:tcPr>
            <w:tcW w:w="1101"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w:t>
            </w:r>
          </w:p>
        </w:tc>
        <w:tc>
          <w:tcPr>
            <w:tcW w:w="3206"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Villa Aldama</w:t>
            </w:r>
          </w:p>
        </w:tc>
        <w:tc>
          <w:tcPr>
            <w:tcW w:w="1275" w:type="dxa"/>
            <w:vMerge/>
            <w:shd w:val="clear" w:color="auto" w:fill="auto"/>
          </w:tcPr>
          <w:p w:rsidR="002C7DA3" w:rsidRPr="00A777DC" w:rsidRDefault="002C7DA3" w:rsidP="00D1069F">
            <w:pPr>
              <w:tabs>
                <w:tab w:val="num" w:pos="1418"/>
              </w:tabs>
              <w:spacing w:after="60" w:line="240" w:lineRule="auto"/>
              <w:ind w:firstLine="0"/>
              <w:rPr>
                <w:rFonts w:cs="Arial"/>
                <w:sz w:val="16"/>
                <w:szCs w:val="16"/>
              </w:rPr>
            </w:pPr>
          </w:p>
        </w:tc>
        <w:tc>
          <w:tcPr>
            <w:tcW w:w="1575" w:type="dxa"/>
            <w:shd w:val="clear" w:color="auto" w:fill="auto"/>
          </w:tcPr>
          <w:p w:rsidR="002C7DA3" w:rsidRPr="00A777DC" w:rsidRDefault="002C7DA3" w:rsidP="00D1069F">
            <w:pPr>
              <w:tabs>
                <w:tab w:val="num" w:pos="1418"/>
              </w:tabs>
              <w:spacing w:after="60" w:line="240" w:lineRule="auto"/>
              <w:ind w:firstLine="0"/>
              <w:rPr>
                <w:rFonts w:cs="Arial"/>
                <w:sz w:val="16"/>
                <w:szCs w:val="16"/>
              </w:rPr>
            </w:pPr>
            <w:r w:rsidRPr="00A777DC">
              <w:rPr>
                <w:rFonts w:cs="Arial"/>
                <w:sz w:val="16"/>
                <w:szCs w:val="16"/>
              </w:rPr>
              <w:t>Veracruz Norte</w:t>
            </w:r>
          </w:p>
        </w:tc>
      </w:tr>
    </w:tbl>
    <w:p w:rsidR="005F3C71" w:rsidRDefault="005F3C71" w:rsidP="002C7DA3"/>
    <w:p w:rsidR="002C7DA3" w:rsidRDefault="002C7DA3" w:rsidP="002C7DA3">
      <w:pPr>
        <w:pStyle w:val="figura1cap1"/>
      </w:pPr>
      <w:r>
        <w:t>Municipios que participan en el acuífero Huamantla-Libres Oriental-Perote</w:t>
      </w:r>
    </w:p>
    <w:p w:rsidR="002C7DA3" w:rsidRDefault="008011C2" w:rsidP="002C7DA3">
      <w:r>
        <w:rPr>
          <w:noProof/>
          <w:lang w:eastAsia="es-MX"/>
        </w:rPr>
        <w:drawing>
          <wp:inline distT="0" distB="0" distL="0" distR="0">
            <wp:extent cx="5762625" cy="3829050"/>
            <wp:effectExtent l="19050" t="0" r="9525" b="0"/>
            <wp:docPr id="3" name="Imagen 3" descr="Municipios_HL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unicipios_HLOP"/>
                    <pic:cNvPicPr>
                      <a:picLocks noChangeAspect="1" noChangeArrowheads="1"/>
                    </pic:cNvPicPr>
                  </pic:nvPicPr>
                  <pic:blipFill>
                    <a:blip r:embed="rId14" cstate="print"/>
                    <a:srcRect/>
                    <a:stretch>
                      <a:fillRect/>
                    </a:stretch>
                  </pic:blipFill>
                  <pic:spPr bwMode="auto">
                    <a:xfrm>
                      <a:off x="0" y="0"/>
                      <a:ext cx="5762625" cy="3829050"/>
                    </a:xfrm>
                    <a:prstGeom prst="rect">
                      <a:avLst/>
                    </a:prstGeom>
                    <a:noFill/>
                    <a:ln w="9525">
                      <a:noFill/>
                      <a:miter lim="800000"/>
                      <a:headEnd/>
                      <a:tailEnd/>
                    </a:ln>
                  </pic:spPr>
                </pic:pic>
              </a:graphicData>
            </a:graphic>
          </wp:inline>
        </w:drawing>
      </w:r>
    </w:p>
    <w:p w:rsidR="002C7DA3" w:rsidRDefault="002C7DA3" w:rsidP="00512F5E">
      <w:r w:rsidRPr="00D841C1">
        <w:lastRenderedPageBreak/>
        <w:t>Con base en lo establecido en el DOF del 28 de agosto de 2009, se tiene que la totalidad de la poligonal de los t</w:t>
      </w:r>
      <w:r w:rsidR="00AC37C3">
        <w:t>res acuíferos es de 5,841.71 km</w:t>
      </w:r>
      <w:r w:rsidR="00AC37C3">
        <w:rPr>
          <w:vertAlign w:val="superscript"/>
        </w:rPr>
        <w:t>2</w:t>
      </w:r>
      <w:r w:rsidRPr="00D841C1">
        <w:t xml:space="preserve"> (</w:t>
      </w:r>
      <w:fldSimple w:instr=" REF _Ref241046036 \r \h  \* MERGEFORMAT ">
        <w:r w:rsidR="001C36B4">
          <w:t>Tabla 1.2</w:t>
        </w:r>
      </w:fldSimple>
      <w:r w:rsidRPr="00D841C1">
        <w:t>).</w:t>
      </w:r>
    </w:p>
    <w:p w:rsidR="002C7DA3" w:rsidRDefault="002C7DA3" w:rsidP="002C7DA3">
      <w:pPr>
        <w:pStyle w:val="tabla1cap1"/>
        <w:ind w:left="0" w:firstLine="0"/>
      </w:pPr>
      <w:bookmarkStart w:id="14" w:name="_Ref241046036"/>
      <w:r>
        <w:t>Extensión de acuíferos involucrados</w:t>
      </w:r>
      <w:bookmarkEnd w:id="14"/>
    </w:p>
    <w:tbl>
      <w:tblPr>
        <w:tblW w:w="0" w:type="auto"/>
        <w:jc w:val="center"/>
        <w:tblBorders>
          <w:top w:val="single" w:sz="12" w:space="0" w:color="008000"/>
          <w:bottom w:val="single" w:sz="12" w:space="0" w:color="008000"/>
        </w:tblBorders>
        <w:tblLook w:val="04A0"/>
      </w:tblPr>
      <w:tblGrid>
        <w:gridCol w:w="1845"/>
        <w:gridCol w:w="1306"/>
        <w:gridCol w:w="1417"/>
      </w:tblGrid>
      <w:tr w:rsidR="002C7DA3" w:rsidRPr="00DE6AA2" w:rsidTr="00365E0C">
        <w:trPr>
          <w:jc w:val="center"/>
        </w:trPr>
        <w:tc>
          <w:tcPr>
            <w:tcW w:w="1845" w:type="dxa"/>
            <w:vMerge w:val="restart"/>
            <w:tcBorders>
              <w:top w:val="single" w:sz="12" w:space="0" w:color="008000"/>
              <w:bottom w:val="single" w:sz="6" w:space="0" w:color="008000"/>
            </w:tcBorders>
            <w:shd w:val="clear" w:color="auto" w:fill="auto"/>
            <w:vAlign w:val="center"/>
          </w:tcPr>
          <w:p w:rsidR="002C7DA3" w:rsidRPr="00A777DC" w:rsidRDefault="002C7DA3" w:rsidP="00365E0C">
            <w:pPr>
              <w:tabs>
                <w:tab w:val="num" w:pos="1701"/>
              </w:tabs>
              <w:spacing w:after="60"/>
              <w:ind w:firstLine="0"/>
              <w:jc w:val="center"/>
              <w:rPr>
                <w:rFonts w:cs="Arial"/>
                <w:sz w:val="18"/>
                <w:szCs w:val="18"/>
              </w:rPr>
            </w:pPr>
            <w:r w:rsidRPr="00A777DC">
              <w:rPr>
                <w:rFonts w:cs="Arial"/>
                <w:sz w:val="18"/>
                <w:szCs w:val="18"/>
              </w:rPr>
              <w:t>Acuífero</w:t>
            </w:r>
          </w:p>
        </w:tc>
        <w:tc>
          <w:tcPr>
            <w:tcW w:w="1306" w:type="dxa"/>
            <w:tcBorders>
              <w:top w:val="single" w:sz="12" w:space="0" w:color="008000"/>
              <w:bottom w:val="single" w:sz="6" w:space="0" w:color="008000"/>
            </w:tcBorders>
            <w:shd w:val="clear" w:color="auto" w:fill="auto"/>
          </w:tcPr>
          <w:p w:rsidR="002C7DA3" w:rsidRPr="00A777DC" w:rsidRDefault="002C7DA3" w:rsidP="00365E0C">
            <w:pPr>
              <w:tabs>
                <w:tab w:val="num" w:pos="1701"/>
              </w:tabs>
              <w:spacing w:after="60"/>
              <w:ind w:firstLine="0"/>
              <w:jc w:val="center"/>
              <w:rPr>
                <w:rFonts w:cs="Arial"/>
                <w:sz w:val="18"/>
                <w:szCs w:val="18"/>
              </w:rPr>
            </w:pPr>
            <w:r w:rsidRPr="00A777DC">
              <w:rPr>
                <w:rFonts w:cs="Arial"/>
                <w:sz w:val="18"/>
                <w:szCs w:val="18"/>
              </w:rPr>
              <w:t>DOF 2009</w:t>
            </w:r>
          </w:p>
        </w:tc>
        <w:tc>
          <w:tcPr>
            <w:tcW w:w="1417" w:type="dxa"/>
            <w:tcBorders>
              <w:top w:val="single" w:sz="12" w:space="0" w:color="008000"/>
              <w:bottom w:val="single" w:sz="6" w:space="0" w:color="008000"/>
            </w:tcBorders>
            <w:shd w:val="clear" w:color="auto" w:fill="auto"/>
          </w:tcPr>
          <w:p w:rsidR="002C7DA3" w:rsidRPr="00A777DC" w:rsidRDefault="002C7DA3" w:rsidP="00365E0C">
            <w:pPr>
              <w:tabs>
                <w:tab w:val="num" w:pos="1701"/>
              </w:tabs>
              <w:spacing w:after="60"/>
              <w:ind w:firstLine="0"/>
              <w:jc w:val="center"/>
              <w:rPr>
                <w:rFonts w:cs="Arial"/>
                <w:sz w:val="18"/>
                <w:szCs w:val="18"/>
              </w:rPr>
            </w:pPr>
            <w:r w:rsidRPr="00A777DC">
              <w:rPr>
                <w:rFonts w:cs="Arial"/>
                <w:sz w:val="18"/>
                <w:szCs w:val="18"/>
              </w:rPr>
              <w:t>CNA, 2002*</w:t>
            </w:r>
          </w:p>
        </w:tc>
      </w:tr>
      <w:tr w:rsidR="002C7DA3" w:rsidRPr="00DE6AA2" w:rsidTr="00365E0C">
        <w:trPr>
          <w:jc w:val="center"/>
        </w:trPr>
        <w:tc>
          <w:tcPr>
            <w:tcW w:w="1845" w:type="dxa"/>
            <w:vMerge/>
            <w:tcBorders>
              <w:bottom w:val="single" w:sz="4" w:space="0" w:color="auto"/>
            </w:tcBorders>
            <w:shd w:val="clear" w:color="auto" w:fill="auto"/>
          </w:tcPr>
          <w:p w:rsidR="002C7DA3" w:rsidRPr="00A777DC" w:rsidRDefault="002C7DA3" w:rsidP="00365E0C">
            <w:pPr>
              <w:tabs>
                <w:tab w:val="num" w:pos="1701"/>
              </w:tabs>
              <w:spacing w:after="60"/>
              <w:ind w:firstLine="0"/>
              <w:jc w:val="center"/>
              <w:rPr>
                <w:rFonts w:cs="Arial"/>
                <w:sz w:val="18"/>
                <w:szCs w:val="18"/>
              </w:rPr>
            </w:pPr>
          </w:p>
        </w:tc>
        <w:tc>
          <w:tcPr>
            <w:tcW w:w="2723" w:type="dxa"/>
            <w:gridSpan w:val="2"/>
            <w:tcBorders>
              <w:bottom w:val="single" w:sz="4" w:space="0" w:color="auto"/>
            </w:tcBorders>
            <w:shd w:val="clear" w:color="auto" w:fill="auto"/>
          </w:tcPr>
          <w:p w:rsidR="002C7DA3" w:rsidRPr="00A777DC" w:rsidRDefault="002C7DA3" w:rsidP="00365E0C">
            <w:pPr>
              <w:tabs>
                <w:tab w:val="num" w:pos="1701"/>
              </w:tabs>
              <w:spacing w:after="60"/>
              <w:ind w:firstLine="0"/>
              <w:jc w:val="center"/>
              <w:rPr>
                <w:rFonts w:cs="Arial"/>
                <w:sz w:val="18"/>
                <w:szCs w:val="18"/>
                <w:vertAlign w:val="superscript"/>
              </w:rPr>
            </w:pPr>
            <w:r w:rsidRPr="00A777DC">
              <w:rPr>
                <w:rFonts w:cs="Arial"/>
                <w:sz w:val="18"/>
                <w:szCs w:val="18"/>
              </w:rPr>
              <w:t>Km</w:t>
            </w:r>
            <w:r w:rsidRPr="00A777DC">
              <w:rPr>
                <w:rFonts w:cs="Arial"/>
                <w:sz w:val="18"/>
                <w:szCs w:val="18"/>
                <w:vertAlign w:val="superscript"/>
              </w:rPr>
              <w:t>2</w:t>
            </w:r>
          </w:p>
        </w:tc>
      </w:tr>
      <w:tr w:rsidR="002C7DA3" w:rsidRPr="00DE6AA2" w:rsidTr="00365E0C">
        <w:trPr>
          <w:jc w:val="center"/>
        </w:trPr>
        <w:tc>
          <w:tcPr>
            <w:tcW w:w="1845" w:type="dxa"/>
            <w:tcBorders>
              <w:top w:val="single" w:sz="4" w:space="0" w:color="auto"/>
            </w:tcBorders>
            <w:shd w:val="clear" w:color="auto" w:fill="auto"/>
          </w:tcPr>
          <w:p w:rsidR="002C7DA3" w:rsidRPr="00A777DC" w:rsidRDefault="002C7DA3" w:rsidP="00365E0C">
            <w:pPr>
              <w:tabs>
                <w:tab w:val="num" w:pos="1701"/>
              </w:tabs>
              <w:spacing w:after="60"/>
              <w:ind w:firstLine="0"/>
              <w:rPr>
                <w:rFonts w:cs="Arial"/>
                <w:sz w:val="18"/>
                <w:szCs w:val="18"/>
              </w:rPr>
            </w:pPr>
            <w:r w:rsidRPr="00A777DC">
              <w:rPr>
                <w:rFonts w:cs="Arial"/>
                <w:sz w:val="18"/>
                <w:szCs w:val="18"/>
              </w:rPr>
              <w:t>Huamantla</w:t>
            </w:r>
          </w:p>
        </w:tc>
        <w:tc>
          <w:tcPr>
            <w:tcW w:w="1306" w:type="dxa"/>
            <w:tcBorders>
              <w:top w:val="single" w:sz="4" w:space="0" w:color="auto"/>
            </w:tcBorders>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851.59</w:t>
            </w:r>
          </w:p>
        </w:tc>
        <w:tc>
          <w:tcPr>
            <w:tcW w:w="1417" w:type="dxa"/>
            <w:tcBorders>
              <w:top w:val="single" w:sz="4" w:space="0" w:color="auto"/>
            </w:tcBorders>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970.00</w:t>
            </w:r>
          </w:p>
        </w:tc>
      </w:tr>
      <w:tr w:rsidR="002C7DA3" w:rsidRPr="00DE6AA2" w:rsidTr="00365E0C">
        <w:trPr>
          <w:jc w:val="center"/>
        </w:trPr>
        <w:tc>
          <w:tcPr>
            <w:tcW w:w="1845" w:type="dxa"/>
            <w:shd w:val="clear" w:color="auto" w:fill="auto"/>
          </w:tcPr>
          <w:p w:rsidR="002C7DA3" w:rsidRPr="00A777DC" w:rsidRDefault="002C7DA3" w:rsidP="00365E0C">
            <w:pPr>
              <w:tabs>
                <w:tab w:val="num" w:pos="1701"/>
              </w:tabs>
              <w:spacing w:after="60"/>
              <w:ind w:firstLine="0"/>
              <w:rPr>
                <w:rFonts w:cs="Arial"/>
                <w:sz w:val="18"/>
                <w:szCs w:val="18"/>
              </w:rPr>
            </w:pPr>
            <w:r w:rsidRPr="00A777DC">
              <w:rPr>
                <w:rFonts w:cs="Arial"/>
                <w:sz w:val="18"/>
                <w:szCs w:val="18"/>
              </w:rPr>
              <w:t>Libres-Oriental</w:t>
            </w:r>
          </w:p>
        </w:tc>
        <w:tc>
          <w:tcPr>
            <w:tcW w:w="1306"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3,973.80</w:t>
            </w:r>
          </w:p>
        </w:tc>
        <w:tc>
          <w:tcPr>
            <w:tcW w:w="1417"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3,500.00</w:t>
            </w:r>
          </w:p>
        </w:tc>
      </w:tr>
      <w:tr w:rsidR="002C7DA3" w:rsidRPr="00DE6AA2" w:rsidTr="00365E0C">
        <w:trPr>
          <w:jc w:val="center"/>
        </w:trPr>
        <w:tc>
          <w:tcPr>
            <w:tcW w:w="1845" w:type="dxa"/>
            <w:shd w:val="clear" w:color="auto" w:fill="auto"/>
          </w:tcPr>
          <w:p w:rsidR="002C7DA3" w:rsidRPr="00A777DC" w:rsidRDefault="002C7DA3" w:rsidP="00365E0C">
            <w:pPr>
              <w:tabs>
                <w:tab w:val="num" w:pos="1701"/>
              </w:tabs>
              <w:spacing w:after="60"/>
              <w:ind w:firstLine="0"/>
              <w:rPr>
                <w:rFonts w:cs="Arial"/>
                <w:sz w:val="18"/>
                <w:szCs w:val="18"/>
              </w:rPr>
            </w:pPr>
            <w:r w:rsidRPr="00A777DC">
              <w:rPr>
                <w:rFonts w:cs="Arial"/>
                <w:sz w:val="18"/>
                <w:szCs w:val="18"/>
              </w:rPr>
              <w:t>Perote-Zalayeta</w:t>
            </w:r>
          </w:p>
        </w:tc>
        <w:tc>
          <w:tcPr>
            <w:tcW w:w="1306"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1,016.32</w:t>
            </w:r>
          </w:p>
        </w:tc>
        <w:tc>
          <w:tcPr>
            <w:tcW w:w="1417"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915.11</w:t>
            </w:r>
          </w:p>
        </w:tc>
      </w:tr>
      <w:tr w:rsidR="002C7DA3" w:rsidRPr="00DE6AA2" w:rsidTr="00365E0C">
        <w:trPr>
          <w:jc w:val="center"/>
        </w:trPr>
        <w:tc>
          <w:tcPr>
            <w:tcW w:w="1845"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TOTAL</w:t>
            </w:r>
          </w:p>
        </w:tc>
        <w:tc>
          <w:tcPr>
            <w:tcW w:w="1306"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5,841.71</w:t>
            </w:r>
          </w:p>
        </w:tc>
        <w:tc>
          <w:tcPr>
            <w:tcW w:w="1417" w:type="dxa"/>
            <w:shd w:val="clear" w:color="auto" w:fill="auto"/>
          </w:tcPr>
          <w:p w:rsidR="002C7DA3" w:rsidRPr="00A777DC" w:rsidRDefault="002C7DA3" w:rsidP="00365E0C">
            <w:pPr>
              <w:tabs>
                <w:tab w:val="num" w:pos="1701"/>
              </w:tabs>
              <w:spacing w:after="60"/>
              <w:ind w:firstLine="0"/>
              <w:jc w:val="right"/>
              <w:rPr>
                <w:rFonts w:cs="Arial"/>
                <w:sz w:val="18"/>
                <w:szCs w:val="18"/>
              </w:rPr>
            </w:pPr>
            <w:r w:rsidRPr="00A777DC">
              <w:rPr>
                <w:rFonts w:cs="Arial"/>
                <w:sz w:val="18"/>
                <w:szCs w:val="18"/>
              </w:rPr>
              <w:t>5,385.11</w:t>
            </w:r>
          </w:p>
        </w:tc>
      </w:tr>
    </w:tbl>
    <w:p w:rsidR="002C7DA3" w:rsidRPr="00A70B65" w:rsidRDefault="002C7DA3" w:rsidP="002C7DA3">
      <w:pPr>
        <w:ind w:left="2124" w:firstLine="0"/>
        <w:jc w:val="left"/>
        <w:rPr>
          <w:sz w:val="16"/>
          <w:szCs w:val="16"/>
        </w:rPr>
      </w:pPr>
      <w:r w:rsidRPr="00A70B65">
        <w:rPr>
          <w:sz w:val="16"/>
          <w:szCs w:val="16"/>
        </w:rPr>
        <w:t>*Publicaciones de disponibilidad para los tres acuíferos en cuestión</w:t>
      </w:r>
    </w:p>
    <w:p w:rsidR="002C7DA3" w:rsidRDefault="002C7DA3" w:rsidP="002C7DA3">
      <w:r w:rsidRPr="00B1710B">
        <w:t xml:space="preserve">El acuífero Libres-Oriental colinda con la sierra de </w:t>
      </w:r>
      <w:proofErr w:type="spellStart"/>
      <w:r w:rsidRPr="00B1710B">
        <w:t>Tlaxco</w:t>
      </w:r>
      <w:proofErr w:type="spellEnd"/>
      <w:r w:rsidRPr="00B1710B">
        <w:t xml:space="preserve"> y la caldera de los Humeros al norte; al oriente por la sierra del </w:t>
      </w:r>
      <w:proofErr w:type="spellStart"/>
      <w:r w:rsidRPr="00B1710B">
        <w:t>Citlaltepetl</w:t>
      </w:r>
      <w:proofErr w:type="spellEnd"/>
      <w:r w:rsidRPr="00B1710B">
        <w:t xml:space="preserve"> y por el volcán La Malinche; y al sur por la sierra de </w:t>
      </w:r>
      <w:proofErr w:type="spellStart"/>
      <w:r w:rsidRPr="00B1710B">
        <w:t>Soltepec</w:t>
      </w:r>
      <w:proofErr w:type="spellEnd"/>
      <w:r w:rsidRPr="00B1710B">
        <w:t>.</w:t>
      </w:r>
    </w:p>
    <w:p w:rsidR="002C7DA3" w:rsidRDefault="002C7DA3" w:rsidP="002C7DA3">
      <w:r>
        <w:t>El acuífero Huamantla-Libres Oriental-Perote se localiza, al norte, entre las ciudades que llevan el mismo nombre, y al sur su extensión llega hast</w:t>
      </w:r>
      <w:r w:rsidR="00912358">
        <w:t>a un poco más al sur de Ciudad Serdán</w:t>
      </w:r>
      <w:r>
        <w:t xml:space="preserve">. El área queda delimitada por las coordenadas geográficas: 18° 55’ a 19° 55’ (latitud norte) y 97°10’ y 98° 00’ (longitud oeste). </w:t>
      </w:r>
    </w:p>
    <w:p w:rsidR="0072276F" w:rsidRDefault="00372646" w:rsidP="00372646">
      <w:r>
        <w:t>Las principales vías de comunicaci</w:t>
      </w:r>
      <w:r w:rsidR="0072276F">
        <w:t>ón son</w:t>
      </w:r>
      <w:r>
        <w:t xml:space="preserve"> </w:t>
      </w:r>
      <w:r w:rsidR="002C7DA3">
        <w:t xml:space="preserve">la autopista No 150 </w:t>
      </w:r>
      <w:r>
        <w:t xml:space="preserve">Puebla-Orizaba y 136 Apizaco-Huamantla, al igual que las </w:t>
      </w:r>
      <w:r w:rsidR="002C7DA3">
        <w:t>carretera</w:t>
      </w:r>
      <w:r>
        <w:t>s</w:t>
      </w:r>
      <w:r w:rsidR="002C7DA3">
        <w:t xml:space="preserve"> federal</w:t>
      </w:r>
      <w:r>
        <w:t>es</w:t>
      </w:r>
      <w:r w:rsidR="002C7DA3">
        <w:t xml:space="preserve"> No 129</w:t>
      </w:r>
      <w:r>
        <w:t xml:space="preserve">, </w:t>
      </w:r>
      <w:r w:rsidR="002C7DA3">
        <w:t>140</w:t>
      </w:r>
      <w:r>
        <w:t xml:space="preserve"> y 131. </w:t>
      </w:r>
      <w:r w:rsidR="0072276F">
        <w:t xml:space="preserve">Adicionalmente, carreteras estatales, terracerías y brechas conforman la red de comunicación entre localidades de diversos tamaños. </w:t>
      </w:r>
    </w:p>
    <w:p w:rsidR="002C7DA3" w:rsidRDefault="002C7DA3" w:rsidP="002C7DA3">
      <w:pPr>
        <w:pStyle w:val="figura1cap1"/>
      </w:pPr>
      <w:r>
        <w:t>Detalle de la red de vías de comunicación, sección sur del área de estudio</w:t>
      </w:r>
    </w:p>
    <w:p w:rsidR="002C7DA3" w:rsidRDefault="008011C2" w:rsidP="007B2B6D">
      <w:pPr>
        <w:ind w:firstLine="0"/>
        <w:jc w:val="center"/>
      </w:pPr>
      <w:r>
        <w:rPr>
          <w:noProof/>
          <w:lang w:eastAsia="es-MX"/>
        </w:rPr>
        <w:drawing>
          <wp:inline distT="0" distB="0" distL="0" distR="0">
            <wp:extent cx="5514975" cy="2914650"/>
            <wp:effectExtent l="19050" t="0" r="9525" b="0"/>
            <wp:docPr id="4" name="Imagen 4" descr="Mapa_Pueb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pa_Puebla1"/>
                    <pic:cNvPicPr>
                      <a:picLocks noChangeAspect="1" noChangeArrowheads="1"/>
                    </pic:cNvPicPr>
                  </pic:nvPicPr>
                  <pic:blipFill>
                    <a:blip r:embed="rId15" cstate="print"/>
                    <a:srcRect/>
                    <a:stretch>
                      <a:fillRect/>
                    </a:stretch>
                  </pic:blipFill>
                  <pic:spPr bwMode="auto">
                    <a:xfrm>
                      <a:off x="0" y="0"/>
                      <a:ext cx="5514975" cy="2914650"/>
                    </a:xfrm>
                    <a:prstGeom prst="rect">
                      <a:avLst/>
                    </a:prstGeom>
                    <a:noFill/>
                    <a:ln w="9525">
                      <a:noFill/>
                      <a:miter lim="800000"/>
                      <a:headEnd/>
                      <a:tailEnd/>
                    </a:ln>
                  </pic:spPr>
                </pic:pic>
              </a:graphicData>
            </a:graphic>
          </wp:inline>
        </w:drawing>
      </w:r>
    </w:p>
    <w:p w:rsidR="002C7DA3" w:rsidRDefault="002C7DA3" w:rsidP="002C7DA3"/>
    <w:p w:rsidR="003D6784" w:rsidRDefault="002C7DA3" w:rsidP="008011C2">
      <w:pPr>
        <w:pStyle w:val="Ttulo2"/>
      </w:pPr>
      <w:bookmarkStart w:id="15" w:name="_Toc283886437"/>
      <w:r>
        <w:lastRenderedPageBreak/>
        <w:t>Participantes en la elaboración del Plan</w:t>
      </w:r>
      <w:bookmarkEnd w:id="15"/>
    </w:p>
    <w:p w:rsidR="005B0F8F" w:rsidRDefault="00A605AA" w:rsidP="00CB3D42">
      <w:r>
        <w:t xml:space="preserve">El Plan de Manejo Integrado para el </w:t>
      </w:r>
      <w:r w:rsidR="00E949D7">
        <w:t>Aprovechamiento S</w:t>
      </w:r>
      <w:r>
        <w:t>oste</w:t>
      </w:r>
      <w:r w:rsidR="00E949D7">
        <w:t>nible del A</w:t>
      </w:r>
      <w:r>
        <w:t xml:space="preserve">gua en el </w:t>
      </w:r>
      <w:r w:rsidR="00E949D7">
        <w:t>Área de Influencia del Acuífero Huamantla</w:t>
      </w:r>
      <w:r>
        <w:t xml:space="preserve">–Libres Oriental–Perote, ha tenido sus orígenes en la solicitud del COTAS </w:t>
      </w:r>
      <w:r w:rsidR="00CB3D42">
        <w:t>respectivo</w:t>
      </w:r>
      <w:r>
        <w:t>, que en años anteriores</w:t>
      </w:r>
      <w:r w:rsidR="005B0F8F">
        <w:t xml:space="preserve">, reconociendo el reto en cuanto al manejo adecuado de aguas subterráneas, </w:t>
      </w:r>
      <w:r w:rsidR="00CB3D42">
        <w:t>efectuaron ejercicios</w:t>
      </w:r>
      <w:r>
        <w:t xml:space="preserve"> de planeación participativa, </w:t>
      </w:r>
      <w:r w:rsidR="005B0F8F">
        <w:t xml:space="preserve">en los cuales se contó con la participación de instituciones y dependencias oficiales a nivel federal, estatal y municipal, así como la representación de los diferentes sectores usuario y sociedad civil organizada. </w:t>
      </w:r>
    </w:p>
    <w:p w:rsidR="00CB3D42" w:rsidRDefault="00A605AA" w:rsidP="00CB3D42">
      <w:r>
        <w:t xml:space="preserve">Durante el </w:t>
      </w:r>
      <w:r w:rsidR="005B0F8F">
        <w:t>presente</w:t>
      </w:r>
      <w:r>
        <w:t xml:space="preserve"> proceso de planeación, se consideraron </w:t>
      </w:r>
      <w:r w:rsidR="00CB3D42">
        <w:t>las iniciativas</w:t>
      </w:r>
      <w:r>
        <w:t xml:space="preserve"> del </w:t>
      </w:r>
      <w:r w:rsidR="005B0F8F">
        <w:t xml:space="preserve">Programa Hídrico Nacional y el </w:t>
      </w:r>
      <w:r>
        <w:t>Programa Hídrico</w:t>
      </w:r>
      <w:r w:rsidR="005B0F8F">
        <w:t xml:space="preserve"> del Organismo de Cuenca Balsas</w:t>
      </w:r>
      <w:r>
        <w:t xml:space="preserve">, </w:t>
      </w:r>
      <w:r w:rsidR="00CB3D42">
        <w:t>capitalizando los esfuerzos generados con anterioridad</w:t>
      </w:r>
      <w:r w:rsidR="005B0F8F">
        <w:t xml:space="preserve"> en </w:t>
      </w:r>
      <w:proofErr w:type="spellStart"/>
      <w:r w:rsidR="005B0F8F">
        <w:t>harás</w:t>
      </w:r>
      <w:proofErr w:type="spellEnd"/>
      <w:r w:rsidR="005B0F8F">
        <w:t xml:space="preserve"> de proveer soluciones integrales a las distintas problemáticas de la región en el tema de manejo óptimo de aguas subterráneas. </w:t>
      </w:r>
    </w:p>
    <w:p w:rsidR="00A605AA" w:rsidRDefault="00A605AA" w:rsidP="005B0F8F">
      <w:r>
        <w:t>En resumen, la planeación integra las iniciativas de todos los actores relacionados tanto con las cuencas como con los acuíferos involucrados y para este caso particular, la participa</w:t>
      </w:r>
      <w:r w:rsidR="005B0F8F">
        <w:t>ción de la CONAGUA en el orden f</w:t>
      </w:r>
      <w:r>
        <w:t xml:space="preserve">ederal, de </w:t>
      </w:r>
      <w:r w:rsidR="005B0F8F">
        <w:t xml:space="preserve">los </w:t>
      </w:r>
      <w:r>
        <w:t>Organismo</w:t>
      </w:r>
      <w:r w:rsidR="005B0F8F">
        <w:t>s</w:t>
      </w:r>
      <w:r>
        <w:t xml:space="preserve"> de Cuenca</w:t>
      </w:r>
      <w:r w:rsidR="005B0F8F">
        <w:t>s en el orden regional y de las Direcciones Locales en el orden e</w:t>
      </w:r>
      <w:r>
        <w:t>statal.</w:t>
      </w:r>
    </w:p>
    <w:p w:rsidR="00E41131" w:rsidRDefault="005F3C71" w:rsidP="00D271DE">
      <w:pPr>
        <w:numPr>
          <w:ilvl w:val="0"/>
          <w:numId w:val="98"/>
        </w:numPr>
      </w:pPr>
      <w:r>
        <w:t xml:space="preserve">CONAGUA </w:t>
      </w:r>
    </w:p>
    <w:p w:rsidR="003D6784" w:rsidRDefault="005F3C71" w:rsidP="00D271DE">
      <w:pPr>
        <w:numPr>
          <w:ilvl w:val="1"/>
          <w:numId w:val="98"/>
        </w:numPr>
      </w:pPr>
      <w:r>
        <w:t>Oficinas Centrales</w:t>
      </w:r>
    </w:p>
    <w:p w:rsidR="005F3C71" w:rsidRDefault="005F3C71" w:rsidP="00D271DE">
      <w:pPr>
        <w:numPr>
          <w:ilvl w:val="1"/>
          <w:numId w:val="98"/>
        </w:numPr>
      </w:pPr>
      <w:r>
        <w:t>Organismo de Cuenca Balsas</w:t>
      </w:r>
    </w:p>
    <w:p w:rsidR="005F3C71" w:rsidRDefault="005F3C71" w:rsidP="00D271DE">
      <w:pPr>
        <w:numPr>
          <w:ilvl w:val="1"/>
          <w:numId w:val="98"/>
        </w:numPr>
      </w:pPr>
      <w:r>
        <w:t>Organismo de Cuenca Golfo Centro</w:t>
      </w:r>
    </w:p>
    <w:p w:rsidR="005F3C71" w:rsidRDefault="005F3C71" w:rsidP="00D271DE">
      <w:pPr>
        <w:numPr>
          <w:ilvl w:val="1"/>
          <w:numId w:val="98"/>
        </w:numPr>
      </w:pPr>
      <w:r>
        <w:t>Dirección Local Tlaxcala</w:t>
      </w:r>
    </w:p>
    <w:p w:rsidR="005F3C71" w:rsidRDefault="005F3C71" w:rsidP="00D271DE">
      <w:pPr>
        <w:numPr>
          <w:ilvl w:val="1"/>
          <w:numId w:val="98"/>
        </w:numPr>
      </w:pPr>
      <w:r>
        <w:t>Dirección Local Puebla</w:t>
      </w:r>
    </w:p>
    <w:p w:rsidR="005F3C71" w:rsidRDefault="005F3C71" w:rsidP="00D271DE">
      <w:pPr>
        <w:numPr>
          <w:ilvl w:val="0"/>
          <w:numId w:val="98"/>
        </w:numPr>
      </w:pPr>
      <w:r>
        <w:t>Consejo de Cuenca del Río Balsas</w:t>
      </w:r>
    </w:p>
    <w:p w:rsidR="005F3C71" w:rsidRDefault="005F3C71" w:rsidP="00D271DE">
      <w:pPr>
        <w:numPr>
          <w:ilvl w:val="0"/>
          <w:numId w:val="98"/>
        </w:numPr>
      </w:pPr>
      <w:r>
        <w:t>COTAS del Acuífero Huamantla-Libres Oriental-Perote</w:t>
      </w:r>
    </w:p>
    <w:p w:rsidR="003D6784" w:rsidRDefault="00273EB4" w:rsidP="00D271DE">
      <w:pPr>
        <w:numPr>
          <w:ilvl w:val="0"/>
          <w:numId w:val="98"/>
        </w:numPr>
      </w:pPr>
      <w:r>
        <w:t>Empresa Consultora Ingeniería y Gestión Hídrica S.C.</w:t>
      </w:r>
    </w:p>
    <w:p w:rsidR="00A605AA" w:rsidRDefault="00A605AA" w:rsidP="00A605AA">
      <w:r>
        <w:t>Es necesario destacar que adicionalmente durante la integración del plan de manejo, se realizaron consultas hacia los distintos sectores de usuarios, así como con especialistas e informantes calificados en cada uno de los tres acuíferos.</w:t>
      </w:r>
    </w:p>
    <w:p w:rsidR="00E41131" w:rsidRPr="00931C8D" w:rsidRDefault="00E41131" w:rsidP="00A605AA">
      <w:r>
        <w:t>Por último, la empresa Ingeniería y Gestión Hídrica, S. C. participó con un papel de integración de propuestas e iniciativas y contribuyó a través del análisis de estas propuestas y de su perfeccionamiento a partir de los resultados de la evaluación técnica del diagnóstico del acuífero, su problemática, sus áreas de oportunidad y los procesos de gestión viables para realizar las soluciones necesarias para el manejo sustentable de los acuíferos.</w:t>
      </w:r>
    </w:p>
    <w:p w:rsidR="006D35B9" w:rsidRDefault="006D35B9" w:rsidP="008011C2">
      <w:pPr>
        <w:pStyle w:val="Ttulo1"/>
      </w:pPr>
      <w:bookmarkStart w:id="16" w:name="_Toc283886438"/>
      <w:r>
        <w:lastRenderedPageBreak/>
        <w:t>Objetivos</w:t>
      </w:r>
      <w:bookmarkEnd w:id="16"/>
    </w:p>
    <w:p w:rsidR="006D35B9" w:rsidRDefault="00B1710B" w:rsidP="002C7DA3">
      <w:pPr>
        <w:pStyle w:val="Ttulo2"/>
      </w:pPr>
      <w:bookmarkStart w:id="17" w:name="_Toc283886439"/>
      <w:r>
        <w:t xml:space="preserve">Objetivo </w:t>
      </w:r>
      <w:r w:rsidR="002C7DA3">
        <w:t>superior</w:t>
      </w:r>
      <w:bookmarkEnd w:id="17"/>
      <w:r w:rsidR="006D35B9">
        <w:t xml:space="preserve"> </w:t>
      </w:r>
    </w:p>
    <w:p w:rsidR="00DA0A18" w:rsidRDefault="00DA0A18" w:rsidP="00DA0A18">
      <w:r>
        <w:t xml:space="preserve">Establecer las estratégicas de aprovechamiento óptimo de aguas subterráneas en el acuífero Huamantla-Libres </w:t>
      </w:r>
      <w:r w:rsidR="004B53E8">
        <w:t>O</w:t>
      </w:r>
      <w:r>
        <w:t xml:space="preserve">riental-Perote, promoviendo su oferta y adecuando su demanda, </w:t>
      </w:r>
      <w:r w:rsidR="004B53E8">
        <w:t>en el marco de un</w:t>
      </w:r>
      <w:r>
        <w:t xml:space="preserve"> desarrollo social</w:t>
      </w:r>
      <w:r w:rsidR="004B53E8">
        <w:t>, econ</w:t>
      </w:r>
      <w:r>
        <w:t>ómico y ambiental</w:t>
      </w:r>
      <w:r w:rsidR="002C0B1B">
        <w:t xml:space="preserve">, </w:t>
      </w:r>
      <w:r w:rsidR="004B53E8">
        <w:t>vinculado</w:t>
      </w:r>
      <w:r>
        <w:t xml:space="preserve"> a </w:t>
      </w:r>
      <w:r w:rsidR="004B53E8">
        <w:t>la región</w:t>
      </w:r>
      <w:r>
        <w:t>.</w:t>
      </w:r>
    </w:p>
    <w:p w:rsidR="006D35B9" w:rsidRDefault="00E82A5D" w:rsidP="002C7DA3">
      <w:pPr>
        <w:pStyle w:val="Ttulo2"/>
      </w:pPr>
      <w:bookmarkStart w:id="18" w:name="_Toc283886440"/>
      <w:r>
        <w:t xml:space="preserve">Objetivos </w:t>
      </w:r>
      <w:r w:rsidR="002C7DA3">
        <w:t>del Plan</w:t>
      </w:r>
      <w:bookmarkEnd w:id="18"/>
    </w:p>
    <w:p w:rsidR="002C7DA3" w:rsidRDefault="002C7DA3" w:rsidP="002C7DA3">
      <w:pPr>
        <w:pStyle w:val="Ttulo3"/>
      </w:pPr>
      <w:bookmarkStart w:id="19" w:name="_Toc283886441"/>
      <w:r>
        <w:t xml:space="preserve">Objetivo </w:t>
      </w:r>
      <w:r w:rsidR="00C672DE">
        <w:t>general</w:t>
      </w:r>
      <w:bookmarkEnd w:id="19"/>
    </w:p>
    <w:p w:rsidR="00DA0A18" w:rsidRPr="006D35B9" w:rsidRDefault="0039370B" w:rsidP="00DA0A18">
      <w:r>
        <w:t>A</w:t>
      </w:r>
      <w:r w:rsidR="00DA0A18" w:rsidRPr="006D35B9">
        <w:t>decu</w:t>
      </w:r>
      <w:r>
        <w:t>ar</w:t>
      </w:r>
      <w:r w:rsidR="00DA0A18" w:rsidRPr="006D35B9">
        <w:t xml:space="preserve"> el desarrollo </w:t>
      </w:r>
      <w:r>
        <w:t xml:space="preserve">de la región y de su entorno para un manejo sustentable </w:t>
      </w:r>
      <w:r w:rsidR="00DA0A18" w:rsidRPr="006D35B9">
        <w:t xml:space="preserve">del </w:t>
      </w:r>
      <w:r>
        <w:t>a</w:t>
      </w:r>
      <w:r w:rsidRPr="006D35B9">
        <w:t>cuífero Huamantla-Libres Oriental-Perote</w:t>
      </w:r>
      <w:r w:rsidR="00DA0A18" w:rsidRPr="006D35B9">
        <w:t xml:space="preserve">, </w:t>
      </w:r>
      <w:r>
        <w:t xml:space="preserve">en congruencia con </w:t>
      </w:r>
      <w:r w:rsidR="00DA0A18" w:rsidRPr="006D35B9">
        <w:t xml:space="preserve">el contexto de la actual política nacional </w:t>
      </w:r>
      <w:r>
        <w:t>hídrica</w:t>
      </w:r>
      <w:r w:rsidR="00DA0A18" w:rsidRPr="006D35B9">
        <w:t>.</w:t>
      </w:r>
    </w:p>
    <w:p w:rsidR="002C7DA3" w:rsidRDefault="00C672DE" w:rsidP="002C7DA3">
      <w:pPr>
        <w:pStyle w:val="Ttulo3"/>
      </w:pPr>
      <w:bookmarkStart w:id="20" w:name="_Toc283886442"/>
      <w:r>
        <w:t>Objetivos e</w:t>
      </w:r>
      <w:r w:rsidR="002C7DA3">
        <w:t>s</w:t>
      </w:r>
      <w:r>
        <w:t>tratégicos</w:t>
      </w:r>
      <w:bookmarkEnd w:id="20"/>
    </w:p>
    <w:p w:rsidR="002C0B1B" w:rsidRPr="002B3D62" w:rsidRDefault="002C0B1B" w:rsidP="00D271DE">
      <w:pPr>
        <w:numPr>
          <w:ilvl w:val="0"/>
          <w:numId w:val="102"/>
        </w:numPr>
      </w:pPr>
      <w:r w:rsidRPr="002B3D62">
        <w:t>Mejorar la productividad del agua en el sector agrícola</w:t>
      </w:r>
    </w:p>
    <w:p w:rsidR="002C0B1B" w:rsidRPr="002B3D62" w:rsidRDefault="002C0B1B" w:rsidP="00D271DE">
      <w:pPr>
        <w:numPr>
          <w:ilvl w:val="0"/>
          <w:numId w:val="102"/>
        </w:numPr>
      </w:pPr>
      <w:r w:rsidRPr="002B3D62">
        <w:t>Incrementar el acceso y la calidad de los servicios de agua potable, alcantarillado y saneamiento</w:t>
      </w:r>
    </w:p>
    <w:p w:rsidR="002C0B1B" w:rsidRPr="002B3D62" w:rsidRDefault="002C0B1B" w:rsidP="00D271DE">
      <w:pPr>
        <w:numPr>
          <w:ilvl w:val="0"/>
          <w:numId w:val="102"/>
        </w:numPr>
      </w:pPr>
      <w:r w:rsidRPr="002B3D62">
        <w:t>Promover el manejo integrado del agua en cuencas y acuíferos</w:t>
      </w:r>
    </w:p>
    <w:p w:rsidR="002C0B1B" w:rsidRPr="002B3D62" w:rsidRDefault="002C0B1B" w:rsidP="00D271DE">
      <w:pPr>
        <w:numPr>
          <w:ilvl w:val="0"/>
          <w:numId w:val="102"/>
        </w:numPr>
      </w:pPr>
      <w:r w:rsidRPr="002B3D62">
        <w:t>Mejorar el desarrollo técnico, administrativo y financiero del sector hidráulico</w:t>
      </w:r>
    </w:p>
    <w:p w:rsidR="002C0B1B" w:rsidRPr="002B3D62" w:rsidRDefault="002C0B1B" w:rsidP="00D271DE">
      <w:pPr>
        <w:numPr>
          <w:ilvl w:val="0"/>
          <w:numId w:val="102"/>
        </w:numPr>
      </w:pPr>
      <w:r w:rsidRPr="002B3D62">
        <w:t>Consolidar la participación de los usuarios y la sociedad organizada en el manejo del agua y promover la cultura del buen uso</w:t>
      </w:r>
    </w:p>
    <w:p w:rsidR="002C0B1B" w:rsidRPr="002B3D62" w:rsidRDefault="002C0B1B" w:rsidP="00D271DE">
      <w:pPr>
        <w:numPr>
          <w:ilvl w:val="0"/>
          <w:numId w:val="102"/>
        </w:numPr>
      </w:pPr>
      <w:r w:rsidRPr="002B3D62">
        <w:t>Prevenir los riesgos derivados de los fenómenos</w:t>
      </w:r>
      <w:r w:rsidR="0049604A">
        <w:t xml:space="preserve"> meteorológicos e hidrometeoroló</w:t>
      </w:r>
      <w:r w:rsidRPr="002B3D62">
        <w:t>gicos y atender sus efectos</w:t>
      </w:r>
    </w:p>
    <w:p w:rsidR="002C0B1B" w:rsidRDefault="002C0B1B" w:rsidP="00D271DE">
      <w:pPr>
        <w:numPr>
          <w:ilvl w:val="0"/>
          <w:numId w:val="102"/>
        </w:numPr>
      </w:pPr>
      <w:r w:rsidRPr="002B3D62">
        <w:t>Evaluar los efectos del cambio climático e hidrológico global y local</w:t>
      </w:r>
    </w:p>
    <w:p w:rsidR="003A51A2" w:rsidRPr="002B3D62" w:rsidRDefault="003A51A2" w:rsidP="003A51A2">
      <w:pPr>
        <w:numPr>
          <w:ilvl w:val="0"/>
          <w:numId w:val="102"/>
        </w:numPr>
      </w:pPr>
      <w:r w:rsidRPr="002B3D62">
        <w:t>Crear una cultura contributiva y de cumplimiento a la LAN en materia administrativa</w:t>
      </w:r>
    </w:p>
    <w:p w:rsidR="003A51A2" w:rsidRDefault="003A51A2" w:rsidP="003A51A2">
      <w:pPr>
        <w:ind w:left="360" w:firstLine="0"/>
      </w:pPr>
    </w:p>
    <w:p w:rsidR="002C0B1B" w:rsidRPr="002C0B1B" w:rsidRDefault="002C0B1B" w:rsidP="002C0B1B"/>
    <w:p w:rsidR="002630B4" w:rsidRDefault="002630B4" w:rsidP="002630B4"/>
    <w:p w:rsidR="002630B4" w:rsidRDefault="002630B4" w:rsidP="002630B4"/>
    <w:p w:rsidR="002630B4" w:rsidRDefault="002630B4" w:rsidP="002630B4"/>
    <w:p w:rsidR="002630B4" w:rsidRDefault="002630B4" w:rsidP="002630B4"/>
    <w:p w:rsidR="002630B4" w:rsidRDefault="002630B4" w:rsidP="002630B4"/>
    <w:p w:rsidR="006D35B9" w:rsidRDefault="002C7DA3" w:rsidP="002C7DA3">
      <w:pPr>
        <w:pStyle w:val="Ttulo1"/>
      </w:pPr>
      <w:bookmarkStart w:id="21" w:name="_Toc283886443"/>
      <w:r>
        <w:lastRenderedPageBreak/>
        <w:t>Marco Jurídico</w:t>
      </w:r>
      <w:bookmarkEnd w:id="21"/>
    </w:p>
    <w:p w:rsidR="009E422C" w:rsidRDefault="00512F5E" w:rsidP="009E422C">
      <w:r>
        <w:t xml:space="preserve">La Constitución Política de los Estados Unidos Mexicanos, en su artículo 27 define la propiedad de las aguas nacionales. La Ley de Aguas Nacionales y su Reglamento enfatizan el papel de la Comisión Nacional del Agua como órgano rector en el marco técnico y legal en cuanto al aprovechamiento </w:t>
      </w:r>
      <w:r w:rsidR="0009476B">
        <w:t>hídrico</w:t>
      </w:r>
      <w:r>
        <w:t xml:space="preserve">. </w:t>
      </w:r>
      <w:r w:rsidR="0020567A">
        <w:t>Resalta</w:t>
      </w:r>
      <w:r>
        <w:t xml:space="preserve"> la importancia de los Consejos de Cuenca y </w:t>
      </w:r>
      <w:r w:rsidR="0020567A">
        <w:t xml:space="preserve">sur Órganos Auxiliares, entre ellos, los </w:t>
      </w:r>
      <w:r>
        <w:t>Comités Técnicos de Aguas Subterráneas (COTAS)</w:t>
      </w:r>
      <w:r w:rsidR="0020567A">
        <w:t xml:space="preserve"> en lo referente a</w:t>
      </w:r>
      <w:r>
        <w:t xml:space="preserve">l cuidado de los acuíferos y la toma de decisiones en </w:t>
      </w:r>
      <w:r w:rsidR="0009476B">
        <w:t xml:space="preserve">cuanto a </w:t>
      </w:r>
      <w:r>
        <w:t>su protección y manejo</w:t>
      </w:r>
      <w:r w:rsidR="0020567A">
        <w:t>; en la actualidad, el COTAS del acuífero Huamantla-Libres Oriental-Perote se constituyó  como organismo auxiliar del Consejo de Cuenca del Río Balsas desde el 6 de julio de 2001</w:t>
      </w:r>
      <w:r>
        <w:t xml:space="preserve">. </w:t>
      </w:r>
      <w:r w:rsidR="0020567A">
        <w:t xml:space="preserve">Por su parte, </w:t>
      </w:r>
      <w:r>
        <w:t>el Registro Público de Derechos de Agua</w:t>
      </w:r>
      <w:r w:rsidR="0020567A">
        <w:t xml:space="preserve"> </w:t>
      </w:r>
      <w:r>
        <w:t>representa el instrumento legítimo para proteger los derechos de los usuarios.</w:t>
      </w:r>
      <w:r w:rsidR="009E422C" w:rsidRPr="009E422C">
        <w:t xml:space="preserve"> </w:t>
      </w:r>
    </w:p>
    <w:p w:rsidR="009E422C" w:rsidRDefault="009E422C" w:rsidP="009E422C">
      <w:r>
        <w:t>La Ley Federal de Derechos en materia de agua, establece los criterios para aplicar las tarifas por pago de derechos correspondientes a los distintos usos del agua, cuerpos de agua y bienes nacionales, según la zona de disponibilidad a la que pertenezcan los municipios. Establece asimismo la exención del pago de derechos para los usos agrícola y pecuario.  También señala que no se pagan derechos por aguas residuales empleadas en lugar de aguas de primer uso.</w:t>
      </w:r>
    </w:p>
    <w:p w:rsidR="0009476B" w:rsidRDefault="009E422C" w:rsidP="0020567A">
      <w:r>
        <w:t xml:space="preserve">Entre otros elementos normativos se encuentran las reglas de operación de los programas institucionales con recursos de inversión para la tecnificación y uso eficiente del agua. </w:t>
      </w:r>
    </w:p>
    <w:p w:rsidR="00512F5E" w:rsidRDefault="00F66DED" w:rsidP="00512F5E">
      <w:r>
        <w:t>Las Leyes Estatales de Aguas</w:t>
      </w:r>
      <w:r w:rsidR="00512F5E">
        <w:t xml:space="preserve"> establecen las funciones y responsabilidades de las instancias estatales y municipales que participan en el sector, así como los derechos y obligaciones de usuarios del agua.</w:t>
      </w:r>
    </w:p>
    <w:p w:rsidR="00512F5E" w:rsidRDefault="00512F5E" w:rsidP="00512F5E">
      <w:r>
        <w:t xml:space="preserve">También son de importancia diversas Normas Oficiales Mexicanas, entre las </w:t>
      </w:r>
      <w:r w:rsidR="00F66DED">
        <w:t>que destaca la NOM-011-CNA-2000</w:t>
      </w:r>
      <w:r>
        <w:t xml:space="preserve"> </w:t>
      </w:r>
      <w:r w:rsidRPr="00F66DED">
        <w:rPr>
          <w:i/>
        </w:rPr>
        <w:t>Conservación del recurso agua que establece las especificaciones y el método para determinar la disponibilidad media anual de las aguas nacionales</w:t>
      </w:r>
      <w:r>
        <w:t>.</w:t>
      </w:r>
      <w:r w:rsidR="002602E2">
        <w:t xml:space="preserve"> </w:t>
      </w:r>
      <w:r w:rsidR="002602E2" w:rsidRPr="002602E2">
        <w:t>Hasta el año de 1998, las nuevas concesiones eran otorgadas en base a la veda "Oriental de Puebla".</w:t>
      </w:r>
    </w:p>
    <w:p w:rsidR="006F5028" w:rsidRDefault="006F5028" w:rsidP="006F5028">
      <w:r>
        <w:t>Sobre el acuífero HLOP aplican tres vedas, que derivan de la evidente necesidad de protecci</w:t>
      </w:r>
      <w:r w:rsidR="009E422C">
        <w:t>ón contra la sobreexplotación:</w:t>
      </w:r>
    </w:p>
    <w:p w:rsidR="006B09D9" w:rsidRPr="001E536F" w:rsidRDefault="006B09D9" w:rsidP="005A60C0">
      <w:pPr>
        <w:numPr>
          <w:ilvl w:val="0"/>
          <w:numId w:val="84"/>
        </w:numPr>
        <w:rPr>
          <w:i/>
        </w:rPr>
      </w:pPr>
      <w:r w:rsidRPr="001E536F">
        <w:rPr>
          <w:i/>
        </w:rPr>
        <w:t xml:space="preserve">DECRETO </w:t>
      </w:r>
      <w:r w:rsidR="0078078B" w:rsidRPr="001E536F">
        <w:rPr>
          <w:i/>
        </w:rPr>
        <w:t xml:space="preserve">que establece veda por tiempo indefinido para el alumbramiento de aguas del subsuelo de la cuenca cerrada denominada </w:t>
      </w:r>
      <w:r w:rsidR="001376E5" w:rsidRPr="001E536F">
        <w:rPr>
          <w:i/>
        </w:rPr>
        <w:t>O</w:t>
      </w:r>
      <w:r w:rsidR="0078078B" w:rsidRPr="001E536F">
        <w:rPr>
          <w:i/>
        </w:rPr>
        <w:t>riental, en los estados de Puebla y Tlaxcala</w:t>
      </w:r>
      <w:r w:rsidRPr="001E536F">
        <w:rPr>
          <w:i/>
        </w:rPr>
        <w:t>.</w:t>
      </w:r>
    </w:p>
    <w:p w:rsidR="00C80540" w:rsidRPr="001E536F" w:rsidRDefault="0078078B" w:rsidP="005A60C0">
      <w:pPr>
        <w:numPr>
          <w:ilvl w:val="0"/>
          <w:numId w:val="84"/>
        </w:numPr>
        <w:rPr>
          <w:i/>
        </w:rPr>
      </w:pPr>
      <w:r w:rsidRPr="001E536F">
        <w:rPr>
          <w:i/>
        </w:rPr>
        <w:t>DECRETO por el que se establece veda para el alumbramiento de aguas del subsuelo en la zona meridional del Estado de Puebla.</w:t>
      </w:r>
    </w:p>
    <w:p w:rsidR="00857CE9" w:rsidRPr="001E536F" w:rsidRDefault="00857CE9" w:rsidP="005A60C0">
      <w:pPr>
        <w:numPr>
          <w:ilvl w:val="0"/>
          <w:numId w:val="84"/>
        </w:numPr>
      </w:pPr>
      <w:r w:rsidRPr="001E536F">
        <w:rPr>
          <w:i/>
        </w:rPr>
        <w:t xml:space="preserve">DECRETO que amplía por tiempo indefinido la veda para el alumbramiento de aguas del subsuelo establecida para la zona meridional del Estado de Puebla, mediante decreto de 12 de junio de 1967 en los municipios de Amozo, Puebla, </w:t>
      </w:r>
      <w:proofErr w:type="spellStart"/>
      <w:r w:rsidRPr="001E536F">
        <w:rPr>
          <w:i/>
        </w:rPr>
        <w:t>Calpa</w:t>
      </w:r>
      <w:proofErr w:type="spellEnd"/>
      <w:r w:rsidRPr="001E536F">
        <w:rPr>
          <w:i/>
        </w:rPr>
        <w:t xml:space="preserve">, </w:t>
      </w:r>
      <w:proofErr w:type="spellStart"/>
      <w:r w:rsidRPr="001E536F">
        <w:rPr>
          <w:i/>
        </w:rPr>
        <w:t>Totimehuacan</w:t>
      </w:r>
      <w:proofErr w:type="spellEnd"/>
      <w:r w:rsidRPr="001E536F">
        <w:rPr>
          <w:i/>
        </w:rPr>
        <w:t xml:space="preserve">, </w:t>
      </w:r>
      <w:proofErr w:type="spellStart"/>
      <w:r w:rsidRPr="001E536F">
        <w:rPr>
          <w:i/>
        </w:rPr>
        <w:t>Pue</w:t>
      </w:r>
      <w:proofErr w:type="spellEnd"/>
      <w:r w:rsidRPr="001E536F">
        <w:rPr>
          <w:i/>
        </w:rPr>
        <w:t>. y otros.</w:t>
      </w:r>
    </w:p>
    <w:p w:rsidR="00857CE9" w:rsidRDefault="00857CE9" w:rsidP="005751BF"/>
    <w:p w:rsidR="00857CE9" w:rsidRDefault="006D19D8" w:rsidP="00B5103E">
      <w:pPr>
        <w:pStyle w:val="figura1cap3"/>
      </w:pPr>
      <w:r>
        <w:lastRenderedPageBreak/>
        <w:t>Vedas de agua subterránea en el estado de Puebla</w:t>
      </w:r>
    </w:p>
    <w:p w:rsidR="00C80540" w:rsidRDefault="008011C2" w:rsidP="006F5028">
      <w:pPr>
        <w:jc w:val="center"/>
      </w:pPr>
      <w:r>
        <w:rPr>
          <w:noProof/>
          <w:lang w:eastAsia="es-MX"/>
        </w:rPr>
        <w:drawing>
          <wp:inline distT="0" distB="0" distL="0" distR="0">
            <wp:extent cx="4562475" cy="3381375"/>
            <wp:effectExtent l="1905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t="2853"/>
                    <a:stretch>
                      <a:fillRect/>
                    </a:stretch>
                  </pic:blipFill>
                  <pic:spPr bwMode="auto">
                    <a:xfrm>
                      <a:off x="0" y="0"/>
                      <a:ext cx="4562475" cy="3381375"/>
                    </a:xfrm>
                    <a:prstGeom prst="rect">
                      <a:avLst/>
                    </a:prstGeom>
                    <a:noFill/>
                    <a:ln w="9525">
                      <a:noFill/>
                      <a:miter lim="800000"/>
                      <a:headEnd/>
                      <a:tailEnd/>
                    </a:ln>
                  </pic:spPr>
                </pic:pic>
              </a:graphicData>
            </a:graphic>
          </wp:inline>
        </w:drawing>
      </w:r>
    </w:p>
    <w:p w:rsidR="00C80540" w:rsidRDefault="006D19D8" w:rsidP="00B5103E">
      <w:pPr>
        <w:pStyle w:val="figura1cap3"/>
        <w:ind w:left="0" w:firstLine="0"/>
      </w:pPr>
      <w:r>
        <w:t>Vedas de agua subterránea en el estado de Tlaxcala</w:t>
      </w:r>
    </w:p>
    <w:p w:rsidR="00C80540" w:rsidRDefault="008011C2" w:rsidP="006F5028">
      <w:pPr>
        <w:jc w:val="center"/>
      </w:pPr>
      <w:r>
        <w:rPr>
          <w:noProof/>
          <w:lang w:eastAsia="es-MX"/>
        </w:rPr>
        <w:drawing>
          <wp:inline distT="0" distB="0" distL="0" distR="0">
            <wp:extent cx="4562475" cy="3333750"/>
            <wp:effectExtent l="1905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t="3250" b="1595"/>
                    <a:stretch>
                      <a:fillRect/>
                    </a:stretch>
                  </pic:blipFill>
                  <pic:spPr bwMode="auto">
                    <a:xfrm>
                      <a:off x="0" y="0"/>
                      <a:ext cx="4562475" cy="3333750"/>
                    </a:xfrm>
                    <a:prstGeom prst="rect">
                      <a:avLst/>
                    </a:prstGeom>
                    <a:noFill/>
                    <a:ln w="9525">
                      <a:noFill/>
                      <a:miter lim="800000"/>
                      <a:headEnd/>
                      <a:tailEnd/>
                    </a:ln>
                  </pic:spPr>
                </pic:pic>
              </a:graphicData>
            </a:graphic>
          </wp:inline>
        </w:drawing>
      </w:r>
    </w:p>
    <w:p w:rsidR="00440642" w:rsidRDefault="00D32703" w:rsidP="005751BF">
      <w:r>
        <w:t xml:space="preserve">La Ley de Aguas Nacionales y su Reglamento contempla que la CONAGUA debe publicar en el Diario Oficial de la Federación, la disponibilidad de las aguas nacionales, por acuífero en el caso de las aguas subterráneas, de acuerdo con los estudios técnicos correspondientes y conforme a </w:t>
      </w:r>
      <w:r>
        <w:lastRenderedPageBreak/>
        <w:t>los lineamientos que consid</w:t>
      </w:r>
      <w:r w:rsidR="00273EB4">
        <w:t>era la Norma Oficial Mexicana “N</w:t>
      </w:r>
      <w:r>
        <w:t>orma Oficial Mexicana que establece el método para determinar la disponibilidad media anual de las aguas nacionales”</w:t>
      </w:r>
      <w:r w:rsidR="00440642">
        <w:t xml:space="preserve">. El método que establece la NOM indica que para calcular la disponibilidad de aguas subterráneas deberá realizarse un balance de aguas subterráneas, donde se defina de manera precisa la recarga de los acuíferos y de esta deducir los volúmenes comprometidos con otros acuíferos, la demanda de los ecosistemas y los usuarios registrados en el Registro Público de Derechos del Agua (REPDA); </w:t>
      </w:r>
      <w:r>
        <w:t xml:space="preserve">de esta forma, este instrumento da certidumbre jurídica </w:t>
      </w:r>
      <w:r w:rsidR="00440642">
        <w:t xml:space="preserve">y legal para fines de administración del recurso, en la autorización de nuevos aprovechamientos, en los planes de desarrollo de nuevas fuentes de abastecimiento, y en las estrategias para resolver los casos de sobrexplotación de acuíferos y la resolución de conflictos entre usuarios. </w:t>
      </w:r>
    </w:p>
    <w:p w:rsidR="002C7DA3" w:rsidRDefault="002C7DA3" w:rsidP="002C7DA3">
      <w:pPr>
        <w:pStyle w:val="Ttulo1"/>
      </w:pPr>
      <w:bookmarkStart w:id="22" w:name="_Toc283886444"/>
      <w:r>
        <w:lastRenderedPageBreak/>
        <w:t>Principios para el manejo integrado del agua</w:t>
      </w:r>
      <w:bookmarkEnd w:id="22"/>
    </w:p>
    <w:p w:rsidR="00FD2A07" w:rsidRDefault="00FD2A07" w:rsidP="00FD2A07">
      <w:r>
        <w:t>Después de varias décadas en las cuales se mantuvo una visión sectorial en cuanto al manejo de los recursos hídricos y después de varios años de discusión, se ha adoptado el concepto de Gestión Integrada de los Recursos Hídricos (GIRH), como parte de un marco teórico de planeación sustentable con el cual, se pretender asegurar la continuidad del ciclo hidrológico sin menoscabo de la conservación de los recursos asociados.</w:t>
      </w:r>
    </w:p>
    <w:p w:rsidR="00FD2A07" w:rsidRDefault="00FD2A07" w:rsidP="00FD2A07">
      <w:r>
        <w:t>Es así que en México, este nuevo enfoque ha entrado a ser parte del marco normativo con el que se pretende dar certeza a la planeación hídrica nacional.  De esta forma, en el marco de las adiciones y reformas a la Ley de Aguas Nacionales del año 2004, se destaca que uno de los principios que sustenta la política nacional hídrica es la Gestión Integrada de los Recursos Hídricos, la cual se define como “…</w:t>
      </w:r>
      <w:r w:rsidRPr="00E0470A">
        <w:rPr>
          <w:i/>
        </w:rPr>
        <w:t>el proceso que promueve la gestión y desarrollo coordinado del agua, la tierra, los recursos relacionados con éstos y el ambiente, con el fin de maximizar el bienestar social y económico equitativamente, sin comprometer la sustentabilidad de los ecosistemas vitales</w:t>
      </w:r>
      <w:r>
        <w:t>…”. Dicha gestión está íntimamente ligada con el desarrollo sustentable y considera primordialmente el agua y el bosque.</w:t>
      </w:r>
    </w:p>
    <w:p w:rsidR="00FD2A07" w:rsidRDefault="00FD2A07" w:rsidP="00FD2A07">
      <w:r>
        <w:t xml:space="preserve">La GIRH, con relación a los demás recursos naturales asociados, requiere de una visión de conjunto que debe acompañarse de acciones específicas, donde cada una de ellas sea considerada desde la perspectiva de los sistemas: hidrológicos, ambientales, sociales y económicos, dado que los problemas del agua en la actualidad, requieren de una atención multisectorial, multidimensional y </w:t>
      </w:r>
      <w:proofErr w:type="spellStart"/>
      <w:r>
        <w:t>multirregional</w:t>
      </w:r>
      <w:proofErr w:type="spellEnd"/>
      <w:r>
        <w:t xml:space="preserve"> requiriendo, para su solución, un enfoque coordinado y multidisciplinario.</w:t>
      </w:r>
    </w:p>
    <w:p w:rsidR="00FD2A07" w:rsidRDefault="00FD2A07" w:rsidP="00FD2A07">
      <w:r>
        <w:t xml:space="preserve">Entre otras características, la GIRH: </w:t>
      </w:r>
    </w:p>
    <w:p w:rsidR="00FD2A07" w:rsidRDefault="00FD2A07" w:rsidP="006D40C3">
      <w:pPr>
        <w:ind w:left="704" w:hanging="420"/>
      </w:pPr>
      <w:r>
        <w:t>•</w:t>
      </w:r>
      <w:r>
        <w:tab/>
        <w:t xml:space="preserve">Se basa en manejar los recursos hídricos a nivel de cuenca, subcuenca, </w:t>
      </w:r>
      <w:proofErr w:type="spellStart"/>
      <w:r>
        <w:t>microcuenca</w:t>
      </w:r>
      <w:proofErr w:type="spellEnd"/>
      <w:r>
        <w:t xml:space="preserve"> y acuífero, considerándolos como unidades interdependientes para la gestión y desarrollo de los recursos hídricos.</w:t>
      </w:r>
    </w:p>
    <w:p w:rsidR="00FD2A07" w:rsidRDefault="00FD2A07" w:rsidP="006D40C3">
      <w:pPr>
        <w:ind w:left="704" w:hanging="420"/>
      </w:pPr>
      <w:r>
        <w:t>•</w:t>
      </w:r>
      <w:r>
        <w:tab/>
        <w:t>Busca establecer objetivos a corto y largo plazo para las políticas hídricas, mediante la planeación estratégica y la elaboración de planes maestros.</w:t>
      </w:r>
    </w:p>
    <w:p w:rsidR="002C7DA3" w:rsidRDefault="00FD2A07" w:rsidP="006D40C3">
      <w:pPr>
        <w:ind w:left="704" w:hanging="420"/>
      </w:pPr>
      <w:r>
        <w:t>•</w:t>
      </w:r>
      <w:r>
        <w:tab/>
        <w:t>Está orientada a establecer la política hídrica como una política transversal, de manera que los otros sectores tomen en cuenta al agua y viceversa.</w:t>
      </w:r>
    </w:p>
    <w:p w:rsidR="006D40C3" w:rsidRDefault="006D40C3" w:rsidP="006D40C3">
      <w:r>
        <w:t>Uno de los mayores retos en cuanto a la Gestión Integral de los Recursos Hídricos se presenta en la operatividad y cumplimiento de cada una de las acciones necesarias para su correcta implantación y ejecución; en primera instancia es necesario alcanzar la compatibilidad entre políticas públicas sectoriales para que sean mutuamente complementarias y no mutuamente excluyentes.</w:t>
      </w:r>
    </w:p>
    <w:p w:rsidR="006D40C3" w:rsidRDefault="006D40C3" w:rsidP="006D40C3">
      <w:r>
        <w:t xml:space="preserve">Esto solo es posible a través del correcto cumplimiento de una política de transversalidad definida y ejecutada de manera </w:t>
      </w:r>
      <w:r w:rsidRPr="00230A91">
        <w:rPr>
          <w:i/>
        </w:rPr>
        <w:t>ex profeso</w:t>
      </w:r>
      <w:r>
        <w:t xml:space="preserve"> para la gestión del agua y sus recursos asociados, en la cual se dé prioridad a la observancia de los instrumentos de ordenamiento territorial, el </w:t>
      </w:r>
      <w:r>
        <w:lastRenderedPageBreak/>
        <w:t xml:space="preserve">cumplimiento del marco normativo y el aprovechamiento óptimo de los recursos, sin desatender las necesidades de avance productivo que son necesarias para la </w:t>
      </w:r>
      <w:r w:rsidR="00230A91">
        <w:t>región y para las entidades en que se circunscribe el acuífero HLOP</w:t>
      </w:r>
      <w:r>
        <w:t>.</w:t>
      </w:r>
    </w:p>
    <w:p w:rsidR="006D40C3" w:rsidRDefault="006D40C3" w:rsidP="006D40C3">
      <w:r>
        <w:t xml:space="preserve">Es necesario también, alcanzar la compatibilidad de intereses entre los habitantes </w:t>
      </w:r>
      <w:r w:rsidR="00230A91">
        <w:t>que confluyen en la misma zona que el acuífero</w:t>
      </w:r>
      <w:r>
        <w:t xml:space="preserve">, estableciendo las reglas de aprovechamiento </w:t>
      </w:r>
      <w:r w:rsidR="00230A91">
        <w:t>sustentable de recursos, asignación de</w:t>
      </w:r>
      <w:r>
        <w:t xml:space="preserve"> responsabilidades para su conservación y </w:t>
      </w:r>
      <w:r w:rsidR="00230A91">
        <w:t>la definición de</w:t>
      </w:r>
      <w:r>
        <w:t xml:space="preserve"> los mecanismos necesarios y suficientes que aseguren el cumplimiento de cada uno de los acuerdos alcanzados.</w:t>
      </w:r>
    </w:p>
    <w:p w:rsidR="006D40C3" w:rsidRDefault="006D40C3" w:rsidP="006D40C3">
      <w:r>
        <w:t>Se requiere también, la intervención de diversos sectores desde una perspectiva participativa, continua y propositiva</w:t>
      </w:r>
      <w:r w:rsidR="00230A91">
        <w:t>,</w:t>
      </w:r>
      <w:r>
        <w:t xml:space="preserve"> privilegiando, en todo momento, la búsqueda y diseño de soluciones a las problemáticas más relevantes en materia hídrica.</w:t>
      </w:r>
    </w:p>
    <w:p w:rsidR="006D40C3" w:rsidRDefault="006D40C3" w:rsidP="006D40C3">
      <w:r>
        <w:t>Los obstáculos institucionales y organizacionales pueden solventarse con el fortalecimiento de las debilidades del marco jurídico y normativo, a la vez que es importante el impulso en la continuidad de los procesos de gestión del agua, como elemento clave para la correcta atención de los diferentes problemas presentados en el sector.</w:t>
      </w:r>
    </w:p>
    <w:p w:rsidR="006D40C3" w:rsidRDefault="006D40C3" w:rsidP="006D40C3">
      <w:r>
        <w:t>Una de las dificultades que retarda la puesta en marcha de programas de gestión integrada del agua, es la carencia de estrategias coherentes con los medios disponibles, razón por lo cual, deberá considerarse la atención de las necesidades de inversión, planeación y organización en acciones no estructurales, pero sí sustanciales, como lo es el incremento de fondos económicos para la capacitación técnico-administrativa del personal y su incremento en número, el fortalecimiento de infraestructura administrativa, y el desarrollo de los convenios necesarios con otras instancias para el logro de la transversalidad de políticas comunes.</w:t>
      </w:r>
    </w:p>
    <w:p w:rsidR="00FD2A07" w:rsidRDefault="006D40C3" w:rsidP="006D40C3">
      <w:r>
        <w:t xml:space="preserve">Con todo lo anterior, se pretende generar una visión para atender lo “importante” con un mismo nivel de prioridad que la atención de eventos “urgentes”.  Esta conceptualización pretende incrementar la valoración del medio ambiente como elemento </w:t>
      </w:r>
      <w:r w:rsidR="00A4492D">
        <w:t>toral</w:t>
      </w:r>
      <w:r>
        <w:t xml:space="preserve"> en la continuidad del ciclo hidrológico que dará viabilidad </w:t>
      </w:r>
      <w:r w:rsidR="00A4492D">
        <w:t>social, económica y ambiental a la región directa e indirectamente relacionada con el acuífero Huamantla-Libres Oriental-Perote</w:t>
      </w:r>
      <w:r>
        <w:t>.</w:t>
      </w:r>
    </w:p>
    <w:p w:rsidR="00FD2A07" w:rsidRDefault="00FD2A07" w:rsidP="000574FF"/>
    <w:p w:rsidR="00FD2A07" w:rsidRDefault="00FD2A07" w:rsidP="000574FF"/>
    <w:p w:rsidR="00FD2A07" w:rsidRDefault="00FD2A07" w:rsidP="000574FF"/>
    <w:p w:rsidR="00FD2A07" w:rsidRDefault="00FD2A07" w:rsidP="000574FF"/>
    <w:p w:rsidR="002C7DA3" w:rsidRDefault="002C7DA3" w:rsidP="002C7DA3">
      <w:pPr>
        <w:pStyle w:val="Ttulo1"/>
      </w:pPr>
      <w:bookmarkStart w:id="23" w:name="_Toc283886445"/>
      <w:r>
        <w:lastRenderedPageBreak/>
        <w:t>Diagnóstico</w:t>
      </w:r>
      <w:bookmarkEnd w:id="23"/>
    </w:p>
    <w:p w:rsidR="002C7DA3" w:rsidRDefault="00273EB4" w:rsidP="008011C2">
      <w:pPr>
        <w:pStyle w:val="Ttulo2"/>
      </w:pPr>
      <w:bookmarkStart w:id="24" w:name="_Toc283886446"/>
      <w:r>
        <w:t>Población y desarrollo socioeconómico</w:t>
      </w:r>
      <w:bookmarkEnd w:id="24"/>
    </w:p>
    <w:p w:rsidR="00277127" w:rsidRDefault="009A4AA3" w:rsidP="00277127">
      <w:pPr>
        <w:rPr>
          <w:rFonts w:eastAsia="Calibri"/>
          <w:szCs w:val="22"/>
        </w:rPr>
      </w:pPr>
      <w:r>
        <w:t>El</w:t>
      </w:r>
      <w:r w:rsidR="000E44A0">
        <w:t xml:space="preserve"> </w:t>
      </w:r>
      <w:r>
        <w:t>área</w:t>
      </w:r>
      <w:r w:rsidR="000E44A0">
        <w:t xml:space="preserve"> de estudio se existen 9</w:t>
      </w:r>
      <w:r>
        <w:t>83</w:t>
      </w:r>
      <w:r w:rsidR="00277127">
        <w:t xml:space="preserve"> localidades, ubicadas en 42 municipios pertenecientes a los estados de Tlaxcala, Puebla y Veracruz.</w:t>
      </w:r>
      <w:r w:rsidR="00277127" w:rsidRPr="00277127">
        <w:rPr>
          <w:rFonts w:eastAsia="Calibri"/>
          <w:szCs w:val="22"/>
        </w:rPr>
        <w:t xml:space="preserve"> </w:t>
      </w:r>
      <w:r w:rsidR="000E44A0" w:rsidRPr="008A5988">
        <w:rPr>
          <w:rFonts w:eastAsia="Calibri"/>
          <w:szCs w:val="22"/>
        </w:rPr>
        <w:t>En el estado de Puebla vive el 5</w:t>
      </w:r>
      <w:r w:rsidR="000E44A0">
        <w:rPr>
          <w:rFonts w:eastAsia="Calibri"/>
          <w:szCs w:val="22"/>
        </w:rPr>
        <w:t>3.4</w:t>
      </w:r>
      <w:r w:rsidR="000E44A0" w:rsidRPr="008A5988">
        <w:rPr>
          <w:rFonts w:eastAsia="Calibri"/>
          <w:szCs w:val="22"/>
        </w:rPr>
        <w:t>% de la población total, el estado de Veracruz aporta el 2</w:t>
      </w:r>
      <w:r w:rsidR="000E44A0">
        <w:rPr>
          <w:rFonts w:eastAsia="Calibri"/>
          <w:szCs w:val="22"/>
        </w:rPr>
        <w:t>4.7</w:t>
      </w:r>
      <w:r w:rsidR="000E44A0" w:rsidRPr="008A5988">
        <w:rPr>
          <w:rFonts w:eastAsia="Calibri"/>
          <w:szCs w:val="22"/>
        </w:rPr>
        <w:t>% y le sigue el estado de Tlaxcala con el 2</w:t>
      </w:r>
      <w:r w:rsidR="000E44A0">
        <w:rPr>
          <w:rFonts w:eastAsia="Calibri"/>
          <w:szCs w:val="22"/>
        </w:rPr>
        <w:t>1.9</w:t>
      </w:r>
      <w:r w:rsidR="000E44A0" w:rsidRPr="008A5988">
        <w:rPr>
          <w:rFonts w:eastAsia="Calibri"/>
          <w:szCs w:val="22"/>
        </w:rPr>
        <w:t>% de la población total</w:t>
      </w:r>
      <w:r w:rsidR="00942FB8">
        <w:rPr>
          <w:rFonts w:eastAsia="Calibri"/>
          <w:szCs w:val="22"/>
        </w:rPr>
        <w:t xml:space="preserve"> (</w:t>
      </w:r>
      <w:r w:rsidR="00BE2961">
        <w:rPr>
          <w:rFonts w:eastAsia="Calibri"/>
          <w:szCs w:val="22"/>
        </w:rPr>
        <w:fldChar w:fldCharType="begin"/>
      </w:r>
      <w:r w:rsidR="00942FB8">
        <w:rPr>
          <w:rFonts w:eastAsia="Calibri"/>
          <w:szCs w:val="22"/>
        </w:rPr>
        <w:instrText xml:space="preserve"> REF _Ref259987259 \r \h </w:instrText>
      </w:r>
      <w:r w:rsidR="00BE2961">
        <w:rPr>
          <w:rFonts w:eastAsia="Calibri"/>
          <w:szCs w:val="22"/>
        </w:rPr>
      </w:r>
      <w:r w:rsidR="00BE2961">
        <w:rPr>
          <w:rFonts w:eastAsia="Calibri"/>
          <w:szCs w:val="22"/>
        </w:rPr>
        <w:fldChar w:fldCharType="separate"/>
      </w:r>
      <w:r w:rsidR="001C36B4">
        <w:rPr>
          <w:rFonts w:eastAsia="Calibri"/>
          <w:szCs w:val="22"/>
        </w:rPr>
        <w:t>Gráfica 5.1</w:t>
      </w:r>
      <w:r w:rsidR="00BE2961">
        <w:rPr>
          <w:rFonts w:eastAsia="Calibri"/>
          <w:szCs w:val="22"/>
        </w:rPr>
        <w:fldChar w:fldCharType="end"/>
      </w:r>
      <w:r w:rsidR="00942FB8">
        <w:rPr>
          <w:rFonts w:eastAsia="Calibri"/>
          <w:szCs w:val="22"/>
        </w:rPr>
        <w:t>).</w:t>
      </w:r>
    </w:p>
    <w:p w:rsidR="00942FB8" w:rsidRPr="008A5988" w:rsidRDefault="00942FB8" w:rsidP="00942FB8">
      <w:pPr>
        <w:pStyle w:val="Grafica1cap5"/>
      </w:pPr>
      <w:bookmarkStart w:id="25" w:name="_Ref259987259"/>
      <w:r>
        <w:t>Área de estudio. Distribución de población por estado</w:t>
      </w:r>
      <w:bookmarkEnd w:id="25"/>
      <w:r w:rsidR="009A4AA3">
        <w:t xml:space="preserve"> (año 2000)</w:t>
      </w:r>
    </w:p>
    <w:p w:rsidR="00277127" w:rsidRDefault="008011C2" w:rsidP="00277127">
      <w:pPr>
        <w:jc w:val="center"/>
        <w:rPr>
          <w:rFonts w:eastAsia="Calibri"/>
          <w:szCs w:val="22"/>
        </w:rPr>
      </w:pPr>
      <w:r>
        <w:rPr>
          <w:rFonts w:eastAsia="Calibri"/>
          <w:noProof/>
          <w:szCs w:val="22"/>
          <w:lang w:eastAsia="es-MX"/>
        </w:rPr>
        <w:drawing>
          <wp:inline distT="0" distB="0" distL="0" distR="0">
            <wp:extent cx="3568560" cy="2137559"/>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568908" cy="2137768"/>
                    </a:xfrm>
                    <a:prstGeom prst="rect">
                      <a:avLst/>
                    </a:prstGeom>
                    <a:noFill/>
                    <a:ln w="9525">
                      <a:noFill/>
                      <a:miter lim="800000"/>
                      <a:headEnd/>
                      <a:tailEnd/>
                    </a:ln>
                  </pic:spPr>
                </pic:pic>
              </a:graphicData>
            </a:graphic>
          </wp:inline>
        </w:drawing>
      </w:r>
    </w:p>
    <w:p w:rsidR="000E44A0" w:rsidRPr="000E44A0" w:rsidRDefault="000E44A0" w:rsidP="008011C2">
      <w:pPr>
        <w:jc w:val="center"/>
        <w:outlineLvl w:val="0"/>
        <w:rPr>
          <w:sz w:val="18"/>
          <w:szCs w:val="18"/>
        </w:rPr>
      </w:pPr>
      <w:r w:rsidRPr="000E44A0">
        <w:rPr>
          <w:rFonts w:eastAsia="Calibri"/>
          <w:sz w:val="18"/>
          <w:szCs w:val="18"/>
        </w:rPr>
        <w:t>FUENTE: Censo INEGI 2000</w:t>
      </w:r>
    </w:p>
    <w:p w:rsidR="00273EB4" w:rsidRDefault="00CC16AF" w:rsidP="00BE5C38">
      <w:pPr>
        <w:pStyle w:val="Tabla1cap5"/>
      </w:pPr>
      <w:r>
        <w:t xml:space="preserve">Área de estudio. </w:t>
      </w:r>
      <w:r w:rsidR="00277127">
        <w:t>Distribución de la población por estado en el acuífero HLOP</w:t>
      </w:r>
      <w:r w:rsidR="009A4AA3">
        <w:t xml:space="preserve"> (año 2000)</w:t>
      </w:r>
    </w:p>
    <w:tbl>
      <w:tblPr>
        <w:tblW w:w="0" w:type="auto"/>
        <w:jc w:val="center"/>
        <w:tblBorders>
          <w:top w:val="single" w:sz="12" w:space="0" w:color="008000"/>
          <w:bottom w:val="single" w:sz="12" w:space="0" w:color="008000"/>
        </w:tblBorders>
        <w:tblLook w:val="04A0"/>
      </w:tblPr>
      <w:tblGrid>
        <w:gridCol w:w="1976"/>
        <w:gridCol w:w="1976"/>
        <w:gridCol w:w="2175"/>
        <w:gridCol w:w="1638"/>
        <w:gridCol w:w="2012"/>
      </w:tblGrid>
      <w:tr w:rsidR="00277127" w:rsidRPr="006C45C7" w:rsidTr="00D1413F">
        <w:trPr>
          <w:trHeight w:val="20"/>
          <w:jc w:val="center"/>
        </w:trPr>
        <w:tc>
          <w:tcPr>
            <w:tcW w:w="1976" w:type="dxa"/>
            <w:tcBorders>
              <w:top w:val="single" w:sz="12" w:space="0" w:color="008000"/>
              <w:bottom w:val="single" w:sz="6" w:space="0" w:color="008000"/>
            </w:tcBorders>
          </w:tcPr>
          <w:p w:rsidR="00277127" w:rsidRPr="006C45C7" w:rsidRDefault="00277127" w:rsidP="00D1413F">
            <w:pPr>
              <w:spacing w:before="20" w:after="20" w:line="240" w:lineRule="auto"/>
              <w:ind w:firstLine="0"/>
              <w:jc w:val="center"/>
              <w:rPr>
                <w:rFonts w:eastAsia="Calibri"/>
                <w:sz w:val="20"/>
              </w:rPr>
            </w:pPr>
            <w:r w:rsidRPr="006C45C7">
              <w:rPr>
                <w:rFonts w:eastAsia="Calibri"/>
                <w:sz w:val="20"/>
              </w:rPr>
              <w:t>Estado</w:t>
            </w:r>
          </w:p>
        </w:tc>
        <w:tc>
          <w:tcPr>
            <w:tcW w:w="1976" w:type="dxa"/>
            <w:tcBorders>
              <w:top w:val="single" w:sz="12" w:space="0" w:color="008000"/>
              <w:bottom w:val="single" w:sz="6" w:space="0" w:color="008000"/>
            </w:tcBorders>
            <w:shd w:val="clear" w:color="auto" w:fill="auto"/>
          </w:tcPr>
          <w:p w:rsidR="00277127" w:rsidRPr="006C45C7" w:rsidRDefault="00277127" w:rsidP="00D1413F">
            <w:pPr>
              <w:spacing w:before="20" w:after="20" w:line="240" w:lineRule="auto"/>
              <w:ind w:firstLine="0"/>
              <w:jc w:val="center"/>
              <w:rPr>
                <w:rFonts w:eastAsia="Calibri"/>
                <w:sz w:val="20"/>
              </w:rPr>
            </w:pPr>
            <w:r w:rsidRPr="006C45C7">
              <w:rPr>
                <w:rFonts w:eastAsia="Calibri"/>
                <w:sz w:val="20"/>
              </w:rPr>
              <w:t>Acuífero</w:t>
            </w:r>
          </w:p>
        </w:tc>
        <w:tc>
          <w:tcPr>
            <w:tcW w:w="2175" w:type="dxa"/>
            <w:tcBorders>
              <w:top w:val="single" w:sz="12" w:space="0" w:color="008000"/>
              <w:bottom w:val="single" w:sz="6" w:space="0" w:color="008000"/>
            </w:tcBorders>
            <w:shd w:val="clear" w:color="auto" w:fill="auto"/>
          </w:tcPr>
          <w:p w:rsidR="00277127" w:rsidRPr="006C45C7" w:rsidRDefault="00277127" w:rsidP="00D1413F">
            <w:pPr>
              <w:spacing w:before="20" w:after="20" w:line="240" w:lineRule="auto"/>
              <w:ind w:firstLine="0"/>
              <w:jc w:val="center"/>
              <w:rPr>
                <w:rFonts w:eastAsia="Calibri"/>
                <w:sz w:val="20"/>
              </w:rPr>
            </w:pPr>
            <w:r w:rsidRPr="006C45C7">
              <w:rPr>
                <w:rFonts w:eastAsia="Calibri"/>
                <w:sz w:val="20"/>
              </w:rPr>
              <w:t>Municipios</w:t>
            </w:r>
          </w:p>
        </w:tc>
        <w:tc>
          <w:tcPr>
            <w:tcW w:w="1638" w:type="dxa"/>
            <w:tcBorders>
              <w:top w:val="single" w:sz="12" w:space="0" w:color="008000"/>
            </w:tcBorders>
          </w:tcPr>
          <w:p w:rsidR="00277127" w:rsidRPr="006C45C7" w:rsidRDefault="00277127" w:rsidP="00D1413F">
            <w:pPr>
              <w:spacing w:before="20" w:after="20" w:line="240" w:lineRule="auto"/>
              <w:ind w:firstLine="0"/>
              <w:jc w:val="center"/>
              <w:rPr>
                <w:rFonts w:eastAsia="Calibri"/>
                <w:sz w:val="20"/>
              </w:rPr>
            </w:pPr>
            <w:r w:rsidRPr="006C45C7">
              <w:rPr>
                <w:rFonts w:eastAsia="Calibri"/>
                <w:sz w:val="20"/>
              </w:rPr>
              <w:t>Localidades</w:t>
            </w:r>
          </w:p>
        </w:tc>
        <w:tc>
          <w:tcPr>
            <w:tcW w:w="2012" w:type="dxa"/>
            <w:tcBorders>
              <w:top w:val="single" w:sz="12" w:space="0" w:color="008000"/>
              <w:bottom w:val="single" w:sz="6" w:space="0" w:color="008000"/>
            </w:tcBorders>
            <w:shd w:val="clear" w:color="auto" w:fill="auto"/>
          </w:tcPr>
          <w:p w:rsidR="00277127" w:rsidRPr="006C45C7" w:rsidRDefault="00277127" w:rsidP="00D1413F">
            <w:pPr>
              <w:spacing w:before="20" w:after="20" w:line="240" w:lineRule="auto"/>
              <w:ind w:firstLine="0"/>
              <w:jc w:val="center"/>
              <w:rPr>
                <w:rFonts w:eastAsia="Calibri"/>
                <w:sz w:val="20"/>
              </w:rPr>
            </w:pPr>
            <w:r w:rsidRPr="006C45C7">
              <w:rPr>
                <w:rFonts w:eastAsia="Calibri"/>
                <w:sz w:val="20"/>
              </w:rPr>
              <w:t>Población</w:t>
            </w:r>
          </w:p>
        </w:tc>
      </w:tr>
      <w:tr w:rsidR="000E44A0" w:rsidRPr="006C45C7" w:rsidTr="00D1413F">
        <w:trPr>
          <w:trHeight w:val="20"/>
          <w:jc w:val="center"/>
        </w:trPr>
        <w:tc>
          <w:tcPr>
            <w:tcW w:w="1976" w:type="dxa"/>
            <w:tcBorders>
              <w:top w:val="single" w:sz="4" w:space="0" w:color="4F6228"/>
            </w:tcBorders>
          </w:tcPr>
          <w:p w:rsidR="000E44A0" w:rsidRPr="006C45C7" w:rsidRDefault="000E44A0" w:rsidP="00D1413F">
            <w:pPr>
              <w:spacing w:before="20" w:after="20" w:line="240" w:lineRule="auto"/>
              <w:ind w:firstLine="0"/>
              <w:jc w:val="left"/>
              <w:rPr>
                <w:sz w:val="20"/>
              </w:rPr>
            </w:pPr>
            <w:r w:rsidRPr="006C45C7">
              <w:rPr>
                <w:sz w:val="20"/>
              </w:rPr>
              <w:t>Puebla</w:t>
            </w:r>
          </w:p>
        </w:tc>
        <w:tc>
          <w:tcPr>
            <w:tcW w:w="1976" w:type="dxa"/>
            <w:tcBorders>
              <w:top w:val="single" w:sz="4" w:space="0" w:color="4F6228"/>
            </w:tcBorders>
            <w:shd w:val="clear" w:color="auto" w:fill="auto"/>
          </w:tcPr>
          <w:p w:rsidR="000E44A0" w:rsidRPr="006C45C7" w:rsidRDefault="000E44A0" w:rsidP="00D1413F">
            <w:pPr>
              <w:spacing w:before="20" w:after="20" w:line="240" w:lineRule="auto"/>
              <w:ind w:firstLine="0"/>
              <w:jc w:val="center"/>
              <w:rPr>
                <w:sz w:val="20"/>
              </w:rPr>
            </w:pPr>
            <w:r w:rsidRPr="006C45C7">
              <w:rPr>
                <w:sz w:val="20"/>
              </w:rPr>
              <w:t>Libres - Oriental</w:t>
            </w:r>
          </w:p>
        </w:tc>
        <w:tc>
          <w:tcPr>
            <w:tcW w:w="2175" w:type="dxa"/>
            <w:tcBorders>
              <w:top w:val="single" w:sz="4" w:space="0" w:color="4F6228"/>
            </w:tcBorders>
            <w:shd w:val="clear" w:color="auto" w:fill="auto"/>
          </w:tcPr>
          <w:p w:rsidR="000E44A0" w:rsidRPr="006C45C7" w:rsidRDefault="000E44A0" w:rsidP="00D1413F">
            <w:pPr>
              <w:spacing w:before="20" w:after="20" w:line="240" w:lineRule="auto"/>
              <w:ind w:firstLine="0"/>
              <w:jc w:val="center"/>
              <w:rPr>
                <w:sz w:val="20"/>
              </w:rPr>
            </w:pPr>
            <w:r w:rsidRPr="006C45C7">
              <w:rPr>
                <w:sz w:val="20"/>
              </w:rPr>
              <w:t>28</w:t>
            </w:r>
          </w:p>
        </w:tc>
        <w:tc>
          <w:tcPr>
            <w:tcW w:w="1638" w:type="dxa"/>
            <w:tcBorders>
              <w:top w:val="single" w:sz="4" w:space="0" w:color="4F6228"/>
            </w:tcBorders>
          </w:tcPr>
          <w:p w:rsidR="000E44A0" w:rsidRPr="006C45C7" w:rsidRDefault="000E44A0" w:rsidP="00D1413F">
            <w:pPr>
              <w:spacing w:before="20" w:after="20" w:line="240" w:lineRule="auto"/>
              <w:ind w:firstLine="0"/>
              <w:jc w:val="center"/>
              <w:rPr>
                <w:sz w:val="20"/>
              </w:rPr>
            </w:pPr>
            <w:r w:rsidRPr="006C45C7">
              <w:rPr>
                <w:sz w:val="20"/>
              </w:rPr>
              <w:t>615</w:t>
            </w:r>
          </w:p>
        </w:tc>
        <w:tc>
          <w:tcPr>
            <w:tcW w:w="2012" w:type="dxa"/>
            <w:tcBorders>
              <w:top w:val="single" w:sz="4" w:space="0" w:color="4F6228"/>
            </w:tcBorders>
            <w:shd w:val="clear" w:color="auto" w:fill="auto"/>
          </w:tcPr>
          <w:p w:rsidR="000E44A0" w:rsidRPr="003E472E" w:rsidRDefault="000E44A0" w:rsidP="00CA2E44">
            <w:pPr>
              <w:spacing w:before="20" w:after="20" w:line="240" w:lineRule="auto"/>
              <w:ind w:firstLine="0"/>
              <w:jc w:val="center"/>
              <w:rPr>
                <w:sz w:val="20"/>
              </w:rPr>
            </w:pPr>
            <w:r>
              <w:rPr>
                <w:sz w:val="20"/>
              </w:rPr>
              <w:t>304,784</w:t>
            </w:r>
          </w:p>
        </w:tc>
      </w:tr>
      <w:tr w:rsidR="000E44A0" w:rsidRPr="006C45C7" w:rsidTr="00D1413F">
        <w:trPr>
          <w:trHeight w:val="20"/>
          <w:jc w:val="center"/>
        </w:trPr>
        <w:tc>
          <w:tcPr>
            <w:tcW w:w="1976" w:type="dxa"/>
          </w:tcPr>
          <w:p w:rsidR="000E44A0" w:rsidRPr="006C45C7" w:rsidRDefault="000E44A0" w:rsidP="00D1413F">
            <w:pPr>
              <w:spacing w:before="20" w:after="20" w:line="240" w:lineRule="auto"/>
              <w:ind w:firstLine="0"/>
              <w:jc w:val="left"/>
              <w:rPr>
                <w:sz w:val="20"/>
              </w:rPr>
            </w:pPr>
            <w:r w:rsidRPr="006C45C7">
              <w:rPr>
                <w:sz w:val="20"/>
              </w:rPr>
              <w:t>Tlaxcala</w:t>
            </w:r>
          </w:p>
        </w:tc>
        <w:tc>
          <w:tcPr>
            <w:tcW w:w="1976" w:type="dxa"/>
            <w:shd w:val="clear" w:color="auto" w:fill="auto"/>
          </w:tcPr>
          <w:p w:rsidR="000E44A0" w:rsidRPr="006C45C7" w:rsidRDefault="000E44A0" w:rsidP="00D1413F">
            <w:pPr>
              <w:spacing w:before="20" w:after="20" w:line="240" w:lineRule="auto"/>
              <w:ind w:firstLine="0"/>
              <w:jc w:val="center"/>
              <w:rPr>
                <w:sz w:val="20"/>
              </w:rPr>
            </w:pPr>
            <w:r w:rsidRPr="006C45C7">
              <w:rPr>
                <w:sz w:val="20"/>
              </w:rPr>
              <w:t>Huamantla</w:t>
            </w:r>
          </w:p>
        </w:tc>
        <w:tc>
          <w:tcPr>
            <w:tcW w:w="2175" w:type="dxa"/>
            <w:shd w:val="clear" w:color="auto" w:fill="auto"/>
          </w:tcPr>
          <w:p w:rsidR="000E44A0" w:rsidRPr="006C45C7" w:rsidRDefault="000E44A0" w:rsidP="00D1413F">
            <w:pPr>
              <w:spacing w:before="20" w:after="20" w:line="240" w:lineRule="auto"/>
              <w:ind w:firstLine="0"/>
              <w:jc w:val="center"/>
              <w:rPr>
                <w:sz w:val="20"/>
              </w:rPr>
            </w:pPr>
            <w:r w:rsidRPr="006C45C7">
              <w:rPr>
                <w:sz w:val="20"/>
              </w:rPr>
              <w:t>7</w:t>
            </w:r>
          </w:p>
        </w:tc>
        <w:tc>
          <w:tcPr>
            <w:tcW w:w="1638" w:type="dxa"/>
          </w:tcPr>
          <w:p w:rsidR="000E44A0" w:rsidRPr="006C45C7" w:rsidRDefault="000E44A0" w:rsidP="00D1413F">
            <w:pPr>
              <w:spacing w:before="20" w:after="20" w:line="240" w:lineRule="auto"/>
              <w:ind w:firstLine="0"/>
              <w:jc w:val="center"/>
              <w:rPr>
                <w:sz w:val="20"/>
              </w:rPr>
            </w:pPr>
            <w:r w:rsidRPr="006C45C7">
              <w:rPr>
                <w:sz w:val="20"/>
              </w:rPr>
              <w:t>226</w:t>
            </w:r>
          </w:p>
        </w:tc>
        <w:tc>
          <w:tcPr>
            <w:tcW w:w="2012" w:type="dxa"/>
            <w:shd w:val="clear" w:color="auto" w:fill="auto"/>
          </w:tcPr>
          <w:p w:rsidR="000E44A0" w:rsidRPr="003E472E" w:rsidRDefault="000E44A0" w:rsidP="00CA2E44">
            <w:pPr>
              <w:spacing w:before="20" w:after="20" w:line="240" w:lineRule="auto"/>
              <w:ind w:firstLine="0"/>
              <w:jc w:val="center"/>
              <w:rPr>
                <w:sz w:val="20"/>
              </w:rPr>
            </w:pPr>
            <w:r>
              <w:rPr>
                <w:sz w:val="20"/>
              </w:rPr>
              <w:t>124,874</w:t>
            </w:r>
          </w:p>
        </w:tc>
      </w:tr>
      <w:tr w:rsidR="000E44A0" w:rsidRPr="006C45C7" w:rsidTr="00D1413F">
        <w:trPr>
          <w:trHeight w:val="20"/>
          <w:jc w:val="center"/>
        </w:trPr>
        <w:tc>
          <w:tcPr>
            <w:tcW w:w="1976" w:type="dxa"/>
          </w:tcPr>
          <w:p w:rsidR="000E44A0" w:rsidRPr="006C45C7" w:rsidRDefault="000E44A0" w:rsidP="00D1413F">
            <w:pPr>
              <w:spacing w:before="20" w:after="20" w:line="240" w:lineRule="auto"/>
              <w:ind w:firstLine="0"/>
              <w:jc w:val="left"/>
              <w:rPr>
                <w:sz w:val="20"/>
              </w:rPr>
            </w:pPr>
            <w:r w:rsidRPr="006C45C7">
              <w:rPr>
                <w:sz w:val="20"/>
              </w:rPr>
              <w:t>Veracruz</w:t>
            </w:r>
          </w:p>
        </w:tc>
        <w:tc>
          <w:tcPr>
            <w:tcW w:w="1976" w:type="dxa"/>
            <w:shd w:val="clear" w:color="auto" w:fill="auto"/>
          </w:tcPr>
          <w:p w:rsidR="000E44A0" w:rsidRPr="006C45C7" w:rsidRDefault="000E44A0" w:rsidP="00D1413F">
            <w:pPr>
              <w:spacing w:before="20" w:after="20" w:line="240" w:lineRule="auto"/>
              <w:ind w:firstLine="0"/>
              <w:jc w:val="center"/>
              <w:rPr>
                <w:sz w:val="20"/>
              </w:rPr>
            </w:pPr>
            <w:r w:rsidRPr="006C45C7">
              <w:rPr>
                <w:sz w:val="20"/>
              </w:rPr>
              <w:t>Perote - Zalayeta</w:t>
            </w:r>
          </w:p>
        </w:tc>
        <w:tc>
          <w:tcPr>
            <w:tcW w:w="2175" w:type="dxa"/>
            <w:shd w:val="clear" w:color="auto" w:fill="auto"/>
          </w:tcPr>
          <w:p w:rsidR="000E44A0" w:rsidRPr="006C45C7" w:rsidRDefault="000E44A0" w:rsidP="00D1413F">
            <w:pPr>
              <w:spacing w:before="20" w:after="20" w:line="240" w:lineRule="auto"/>
              <w:ind w:firstLine="0"/>
              <w:jc w:val="center"/>
              <w:rPr>
                <w:sz w:val="20"/>
              </w:rPr>
            </w:pPr>
            <w:r w:rsidRPr="006C45C7">
              <w:rPr>
                <w:sz w:val="20"/>
              </w:rPr>
              <w:t>7</w:t>
            </w:r>
          </w:p>
        </w:tc>
        <w:tc>
          <w:tcPr>
            <w:tcW w:w="1638" w:type="dxa"/>
          </w:tcPr>
          <w:p w:rsidR="000E44A0" w:rsidRPr="006C45C7" w:rsidRDefault="000E44A0" w:rsidP="00D1413F">
            <w:pPr>
              <w:spacing w:before="20" w:after="20" w:line="240" w:lineRule="auto"/>
              <w:ind w:firstLine="0"/>
              <w:jc w:val="center"/>
              <w:rPr>
                <w:sz w:val="20"/>
              </w:rPr>
            </w:pPr>
            <w:r w:rsidRPr="006C45C7">
              <w:rPr>
                <w:sz w:val="20"/>
              </w:rPr>
              <w:t>144</w:t>
            </w:r>
          </w:p>
        </w:tc>
        <w:tc>
          <w:tcPr>
            <w:tcW w:w="2012" w:type="dxa"/>
            <w:shd w:val="clear" w:color="auto" w:fill="auto"/>
          </w:tcPr>
          <w:p w:rsidR="000E44A0" w:rsidRPr="003E472E" w:rsidRDefault="000E44A0" w:rsidP="00CA2E44">
            <w:pPr>
              <w:spacing w:before="20" w:after="20" w:line="240" w:lineRule="auto"/>
              <w:ind w:firstLine="0"/>
              <w:jc w:val="center"/>
              <w:rPr>
                <w:sz w:val="20"/>
              </w:rPr>
            </w:pPr>
            <w:r>
              <w:rPr>
                <w:sz w:val="20"/>
              </w:rPr>
              <w:t>141,273</w:t>
            </w:r>
          </w:p>
        </w:tc>
      </w:tr>
      <w:tr w:rsidR="000E44A0" w:rsidRPr="006C45C7" w:rsidTr="00D1413F">
        <w:trPr>
          <w:trHeight w:val="20"/>
          <w:jc w:val="center"/>
        </w:trPr>
        <w:tc>
          <w:tcPr>
            <w:tcW w:w="1976" w:type="dxa"/>
          </w:tcPr>
          <w:p w:rsidR="000E44A0" w:rsidRPr="006C45C7" w:rsidRDefault="000E44A0" w:rsidP="00D1413F">
            <w:pPr>
              <w:spacing w:before="20" w:after="20" w:line="240" w:lineRule="auto"/>
              <w:ind w:firstLine="0"/>
              <w:jc w:val="left"/>
              <w:rPr>
                <w:sz w:val="20"/>
              </w:rPr>
            </w:pPr>
            <w:r w:rsidRPr="006C45C7">
              <w:rPr>
                <w:sz w:val="20"/>
              </w:rPr>
              <w:t>Total</w:t>
            </w:r>
          </w:p>
        </w:tc>
        <w:tc>
          <w:tcPr>
            <w:tcW w:w="1976" w:type="dxa"/>
            <w:shd w:val="clear" w:color="auto" w:fill="auto"/>
          </w:tcPr>
          <w:p w:rsidR="000E44A0" w:rsidRPr="006C45C7" w:rsidRDefault="000E44A0" w:rsidP="00D1413F">
            <w:pPr>
              <w:spacing w:before="20" w:after="20" w:line="240" w:lineRule="auto"/>
              <w:ind w:firstLine="0"/>
              <w:jc w:val="center"/>
              <w:rPr>
                <w:sz w:val="20"/>
              </w:rPr>
            </w:pPr>
            <w:r w:rsidRPr="006C45C7">
              <w:rPr>
                <w:sz w:val="20"/>
              </w:rPr>
              <w:t>Total</w:t>
            </w:r>
          </w:p>
        </w:tc>
        <w:tc>
          <w:tcPr>
            <w:tcW w:w="2175" w:type="dxa"/>
            <w:shd w:val="clear" w:color="auto" w:fill="auto"/>
          </w:tcPr>
          <w:p w:rsidR="000E44A0" w:rsidRPr="006C45C7" w:rsidRDefault="000E44A0" w:rsidP="00D1413F">
            <w:pPr>
              <w:spacing w:before="20" w:after="20" w:line="240" w:lineRule="auto"/>
              <w:ind w:firstLine="0"/>
              <w:jc w:val="center"/>
              <w:rPr>
                <w:sz w:val="20"/>
              </w:rPr>
            </w:pPr>
            <w:r w:rsidRPr="006C45C7">
              <w:rPr>
                <w:sz w:val="20"/>
              </w:rPr>
              <w:t>42</w:t>
            </w:r>
          </w:p>
        </w:tc>
        <w:tc>
          <w:tcPr>
            <w:tcW w:w="1638" w:type="dxa"/>
          </w:tcPr>
          <w:p w:rsidR="000E44A0" w:rsidRPr="006C45C7" w:rsidRDefault="000E44A0" w:rsidP="00D1413F">
            <w:pPr>
              <w:spacing w:before="20" w:after="20" w:line="240" w:lineRule="auto"/>
              <w:ind w:firstLine="0"/>
              <w:jc w:val="center"/>
              <w:rPr>
                <w:sz w:val="20"/>
              </w:rPr>
            </w:pPr>
            <w:r w:rsidRPr="006C45C7">
              <w:rPr>
                <w:sz w:val="20"/>
              </w:rPr>
              <w:t>985</w:t>
            </w:r>
          </w:p>
        </w:tc>
        <w:tc>
          <w:tcPr>
            <w:tcW w:w="2012" w:type="dxa"/>
            <w:shd w:val="clear" w:color="auto" w:fill="auto"/>
          </w:tcPr>
          <w:p w:rsidR="000E44A0" w:rsidRPr="003E472E" w:rsidRDefault="000E44A0" w:rsidP="00CA2E44">
            <w:pPr>
              <w:spacing w:before="20" w:after="20" w:line="240" w:lineRule="auto"/>
              <w:ind w:firstLine="0"/>
              <w:jc w:val="center"/>
              <w:rPr>
                <w:sz w:val="20"/>
              </w:rPr>
            </w:pPr>
            <w:r>
              <w:rPr>
                <w:sz w:val="20"/>
              </w:rPr>
              <w:t>570,931</w:t>
            </w:r>
          </w:p>
        </w:tc>
      </w:tr>
    </w:tbl>
    <w:p w:rsidR="00942FB8" w:rsidRDefault="0076544D" w:rsidP="00942FB8">
      <w:pPr>
        <w:pStyle w:val="Fuente"/>
      </w:pPr>
      <w:r>
        <w:t>FUENTE: INEGI. Censo 2000, C</w:t>
      </w:r>
      <w:r w:rsidR="00942FB8">
        <w:t>onteo 2005. CONAPO. Proyección de la población 2005-2050</w:t>
      </w:r>
    </w:p>
    <w:p w:rsidR="000E44A0" w:rsidRDefault="009A4AA3" w:rsidP="00277127">
      <w:r w:rsidRPr="005C4883">
        <w:t>En el año 2000, l</w:t>
      </w:r>
      <w:r w:rsidR="000E44A0" w:rsidRPr="005C4883">
        <w:t xml:space="preserve">a población dentro de la área de estudio del estado de Puebla contabilizó 304,784 habitantes, la cobertura promedio </w:t>
      </w:r>
      <w:r w:rsidRPr="005C4883">
        <w:t>de agua potable fue de 8</w:t>
      </w:r>
      <w:r w:rsidR="005C4883" w:rsidRPr="005C4883">
        <w:t>8.2</w:t>
      </w:r>
      <w:r w:rsidRPr="005C4883">
        <w:t xml:space="preserve">% y </w:t>
      </w:r>
      <w:r w:rsidR="000E44A0" w:rsidRPr="005C4883">
        <w:t>la población con servicio de alcantarillado alcanzo al 5</w:t>
      </w:r>
      <w:r w:rsidR="005C4883" w:rsidRPr="005C4883">
        <w:t>6.9</w:t>
      </w:r>
      <w:r w:rsidR="000E44A0" w:rsidRPr="005C4883">
        <w:t>%. Para el estado de Tlaxcala se reportan 1</w:t>
      </w:r>
      <w:r w:rsidR="005C4883" w:rsidRPr="005C4883">
        <w:t>24,874</w:t>
      </w:r>
      <w:r w:rsidRPr="005C4883">
        <w:t xml:space="preserve"> </w:t>
      </w:r>
      <w:r w:rsidR="000E44A0" w:rsidRPr="005C4883">
        <w:t xml:space="preserve"> </w:t>
      </w:r>
      <w:proofErr w:type="spellStart"/>
      <w:r w:rsidR="000E44A0" w:rsidRPr="005C4883">
        <w:t>hab</w:t>
      </w:r>
      <w:proofErr w:type="spellEnd"/>
      <w:r w:rsidR="000E44A0" w:rsidRPr="005C4883">
        <w:t>., la cobertura promedio de agua potable y alcantarillado fueron de 9</w:t>
      </w:r>
      <w:r w:rsidR="005C4883" w:rsidRPr="005C4883">
        <w:t>3.3% y 82.9% respectivamente. El estado de Veracruz contabilizo en el área de estudio 141,274 habitantes, la cobertura promedio de agua potable fue de 85.3% y la población con servicio de alcantarillado alcanzo al 69.3%.</w:t>
      </w:r>
    </w:p>
    <w:p w:rsidR="000E44A0" w:rsidRDefault="000E44A0" w:rsidP="000E44A0">
      <w:r>
        <w:t>La población actual se obt</w:t>
      </w:r>
      <w:r w:rsidR="00A63B07">
        <w:t>uvo de las proyecciones 2005-205</w:t>
      </w:r>
      <w:r>
        <w:t>0 de población del Consejo Nacional de Población (CONAPO)</w:t>
      </w:r>
      <w:r w:rsidR="00942FB8">
        <w:t>. L</w:t>
      </w:r>
      <w:r w:rsidRPr="006574E8">
        <w:t>a</w:t>
      </w:r>
      <w:r>
        <w:t xml:space="preserve">s 3 localidades más importantes en la zona son Ciudad Serdán (Puebla), Huamantla (Tlaxcala) y Perote (Veracruz), </w:t>
      </w:r>
      <w:r w:rsidR="00A63B07">
        <w:t xml:space="preserve">la población total del área de estudio </w:t>
      </w:r>
      <w:r w:rsidR="00942FB8">
        <w:t xml:space="preserve">al 2009 </w:t>
      </w:r>
      <w:r>
        <w:t xml:space="preserve">según CONAPO es de </w:t>
      </w:r>
      <w:r w:rsidR="00517A63">
        <w:t>662,605</w:t>
      </w:r>
      <w:r>
        <w:t xml:space="preserve"> habitantes</w:t>
      </w:r>
      <w:r w:rsidR="00942FB8">
        <w:t xml:space="preserve">. Existen 8 localidades mayores a 10,000 </w:t>
      </w:r>
      <w:proofErr w:type="spellStart"/>
      <w:r w:rsidR="00942FB8">
        <w:t>hab</w:t>
      </w:r>
      <w:proofErr w:type="spellEnd"/>
      <w:r w:rsidR="00942FB8">
        <w:t>.</w:t>
      </w:r>
      <w:r>
        <w:t xml:space="preserve"> (</w:t>
      </w:r>
      <w:r w:rsidR="00BE2961">
        <w:fldChar w:fldCharType="begin"/>
      </w:r>
      <w:r>
        <w:instrText xml:space="preserve"> REF _Ref259986937 \r \h </w:instrText>
      </w:r>
      <w:r w:rsidR="00BE2961">
        <w:fldChar w:fldCharType="separate"/>
      </w:r>
      <w:r w:rsidR="001C36B4">
        <w:t>Tabla 5.2</w:t>
      </w:r>
      <w:r w:rsidR="00BE2961">
        <w:fldChar w:fldCharType="end"/>
      </w:r>
      <w:r>
        <w:t>).</w:t>
      </w:r>
    </w:p>
    <w:p w:rsidR="000E44A0" w:rsidRDefault="00CC16AF" w:rsidP="000E44A0">
      <w:pPr>
        <w:pStyle w:val="Tabla1cap5"/>
        <w:ind w:left="0" w:firstLine="0"/>
      </w:pPr>
      <w:bookmarkStart w:id="26" w:name="_Ref259986937"/>
      <w:r>
        <w:lastRenderedPageBreak/>
        <w:t>Área</w:t>
      </w:r>
      <w:r w:rsidR="00942FB8">
        <w:t xml:space="preserve"> de estudio. </w:t>
      </w:r>
      <w:r w:rsidR="000E44A0">
        <w:t>Localidades según rangos de población</w:t>
      </w:r>
      <w:bookmarkEnd w:id="26"/>
      <w:r w:rsidR="00A63B07">
        <w:t xml:space="preserve"> (año 2009)</w:t>
      </w:r>
    </w:p>
    <w:tbl>
      <w:tblPr>
        <w:tblW w:w="9889" w:type="dxa"/>
        <w:tblBorders>
          <w:top w:val="single" w:sz="12" w:space="0" w:color="008000"/>
          <w:bottom w:val="single" w:sz="12" w:space="0" w:color="008000"/>
        </w:tblBorders>
        <w:tblLook w:val="04A0"/>
      </w:tblPr>
      <w:tblGrid>
        <w:gridCol w:w="1101"/>
        <w:gridCol w:w="2551"/>
        <w:gridCol w:w="3261"/>
        <w:gridCol w:w="1842"/>
        <w:gridCol w:w="1134"/>
      </w:tblGrid>
      <w:tr w:rsidR="000E44A0" w:rsidRPr="006B5E87" w:rsidTr="002A69DC">
        <w:trPr>
          <w:tblHeader/>
        </w:trPr>
        <w:tc>
          <w:tcPr>
            <w:tcW w:w="1101" w:type="dxa"/>
            <w:tcBorders>
              <w:bottom w:val="single" w:sz="6" w:space="0" w:color="008000"/>
            </w:tcBorders>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Estado</w:t>
            </w:r>
          </w:p>
        </w:tc>
        <w:tc>
          <w:tcPr>
            <w:tcW w:w="2551" w:type="dxa"/>
            <w:tcBorders>
              <w:bottom w:val="single" w:sz="6" w:space="0" w:color="008000"/>
            </w:tcBorders>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Municipio</w:t>
            </w:r>
          </w:p>
        </w:tc>
        <w:tc>
          <w:tcPr>
            <w:tcW w:w="3261" w:type="dxa"/>
            <w:tcBorders>
              <w:bottom w:val="single" w:sz="6" w:space="0" w:color="008000"/>
            </w:tcBorders>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Localidad</w:t>
            </w:r>
          </w:p>
        </w:tc>
        <w:tc>
          <w:tcPr>
            <w:tcW w:w="1842" w:type="dxa"/>
            <w:tcBorders>
              <w:bottom w:val="single" w:sz="6" w:space="0" w:color="008000"/>
            </w:tcBorders>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Localidades</w:t>
            </w:r>
          </w:p>
        </w:tc>
        <w:tc>
          <w:tcPr>
            <w:tcW w:w="1134" w:type="dxa"/>
            <w:tcBorders>
              <w:bottom w:val="single" w:sz="6" w:space="0" w:color="008000"/>
            </w:tcBorders>
            <w:shd w:val="clear" w:color="auto" w:fill="auto"/>
          </w:tcPr>
          <w:p w:rsidR="000E44A0" w:rsidRPr="006B5E87" w:rsidRDefault="000E44A0" w:rsidP="00F1681A">
            <w:pPr>
              <w:spacing w:before="20" w:after="20" w:line="240" w:lineRule="auto"/>
              <w:ind w:firstLine="0"/>
              <w:jc w:val="center"/>
              <w:rPr>
                <w:rFonts w:eastAsia="Calibri" w:cs="Arial"/>
                <w:sz w:val="20"/>
              </w:rPr>
            </w:pPr>
            <w:r>
              <w:rPr>
                <w:rFonts w:eastAsia="Calibri" w:cs="Arial"/>
                <w:sz w:val="20"/>
              </w:rPr>
              <w:t xml:space="preserve">Población </w:t>
            </w:r>
            <w:r w:rsidRPr="006B5E87">
              <w:rPr>
                <w:rFonts w:eastAsia="Calibri" w:cs="Arial"/>
                <w:sz w:val="20"/>
              </w:rPr>
              <w:t>2009</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Puebla</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proofErr w:type="spellStart"/>
            <w:r w:rsidRPr="006B5E87">
              <w:rPr>
                <w:rFonts w:eastAsia="Calibri" w:cs="Arial"/>
                <w:sz w:val="20"/>
              </w:rPr>
              <w:t>Chalchicomula</w:t>
            </w:r>
            <w:proofErr w:type="spellEnd"/>
            <w:r w:rsidRPr="006B5E87">
              <w:rPr>
                <w:rFonts w:eastAsia="Calibri" w:cs="Arial"/>
                <w:sz w:val="20"/>
              </w:rPr>
              <w:t xml:space="preserve"> de Sesma</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Ciudad Serdán</w:t>
            </w:r>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22,649</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Puebla</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Libres</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Ciudad de Libres</w:t>
            </w:r>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15,032</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Puebla</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Sal Salvador El Seco</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San Salvador El Seco</w:t>
            </w:r>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17,082</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Tlaxcala</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proofErr w:type="spellStart"/>
            <w:r w:rsidRPr="006B5E87">
              <w:rPr>
                <w:rFonts w:eastAsia="Calibri" w:cs="Arial"/>
                <w:sz w:val="20"/>
              </w:rPr>
              <w:t>Hamantla</w:t>
            </w:r>
            <w:proofErr w:type="spellEnd"/>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Huamantla</w:t>
            </w:r>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52,108</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Tlaxcala</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El Carmen </w:t>
            </w:r>
            <w:proofErr w:type="spellStart"/>
            <w:r w:rsidRPr="006B5E87">
              <w:rPr>
                <w:rFonts w:eastAsia="Calibri" w:cs="Arial"/>
                <w:sz w:val="20"/>
              </w:rPr>
              <w:t>Tequexquitla</w:t>
            </w:r>
            <w:proofErr w:type="spellEnd"/>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Valle de El Carmen </w:t>
            </w:r>
            <w:proofErr w:type="spellStart"/>
            <w:r w:rsidRPr="006B5E87">
              <w:rPr>
                <w:rFonts w:eastAsia="Calibri" w:cs="Arial"/>
                <w:sz w:val="20"/>
              </w:rPr>
              <w:t>Tequexquitla</w:t>
            </w:r>
            <w:proofErr w:type="spellEnd"/>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14,035</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Veracruz</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Perote</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Perote</w:t>
            </w:r>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38,380</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Veracruz</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proofErr w:type="spellStart"/>
            <w:r w:rsidRPr="006B5E87">
              <w:rPr>
                <w:rFonts w:eastAsia="Calibri" w:cs="Arial"/>
                <w:sz w:val="20"/>
              </w:rPr>
              <w:t>Altotonga</w:t>
            </w:r>
            <w:proofErr w:type="spellEnd"/>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proofErr w:type="spellStart"/>
            <w:r w:rsidRPr="006B5E87">
              <w:rPr>
                <w:rFonts w:eastAsia="Calibri" w:cs="Arial"/>
                <w:sz w:val="20"/>
              </w:rPr>
              <w:t>Altotonga</w:t>
            </w:r>
            <w:proofErr w:type="spellEnd"/>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19,527</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Veracruz</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proofErr w:type="spellStart"/>
            <w:r w:rsidRPr="006B5E87">
              <w:rPr>
                <w:rFonts w:eastAsia="Calibri" w:cs="Arial"/>
                <w:sz w:val="20"/>
              </w:rPr>
              <w:t>Jalalcingo</w:t>
            </w:r>
            <w:proofErr w:type="spellEnd"/>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proofErr w:type="spellStart"/>
            <w:r w:rsidRPr="006B5E87">
              <w:rPr>
                <w:rFonts w:eastAsia="Calibri" w:cs="Arial"/>
                <w:sz w:val="20"/>
              </w:rPr>
              <w:t>Jalancingo</w:t>
            </w:r>
            <w:proofErr w:type="spellEnd"/>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13,231</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Varios</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Varios</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De 5,000 – menor de 10,000 </w:t>
            </w:r>
            <w:proofErr w:type="spellStart"/>
            <w:r w:rsidRPr="006B5E87">
              <w:rPr>
                <w:rFonts w:eastAsia="Calibri" w:cs="Arial"/>
                <w:sz w:val="20"/>
              </w:rPr>
              <w:t>hab</w:t>
            </w:r>
            <w:proofErr w:type="spellEnd"/>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13</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96,060</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Varios</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Varios</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De 2,500 a menor de 5,000 </w:t>
            </w:r>
            <w:proofErr w:type="spellStart"/>
            <w:r w:rsidRPr="006B5E87">
              <w:rPr>
                <w:rFonts w:eastAsia="Calibri" w:cs="Arial"/>
                <w:sz w:val="20"/>
              </w:rPr>
              <w:t>hab</w:t>
            </w:r>
            <w:proofErr w:type="spellEnd"/>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23</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84,555</w:t>
            </w:r>
          </w:p>
        </w:tc>
      </w:tr>
      <w:tr w:rsidR="000E44A0" w:rsidRPr="006B5E87" w:rsidTr="002A69DC">
        <w:tc>
          <w:tcPr>
            <w:tcW w:w="1101" w:type="dxa"/>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Varios</w:t>
            </w:r>
          </w:p>
        </w:tc>
        <w:tc>
          <w:tcPr>
            <w:tcW w:w="255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Varios</w:t>
            </w:r>
          </w:p>
        </w:tc>
        <w:tc>
          <w:tcPr>
            <w:tcW w:w="3261" w:type="dxa"/>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De 1,000 a menor de 2,500 </w:t>
            </w:r>
            <w:proofErr w:type="spellStart"/>
            <w:r w:rsidRPr="006B5E87">
              <w:rPr>
                <w:rFonts w:eastAsia="Calibri" w:cs="Arial"/>
                <w:sz w:val="20"/>
              </w:rPr>
              <w:t>hab</w:t>
            </w:r>
            <w:proofErr w:type="spellEnd"/>
          </w:p>
        </w:tc>
        <w:tc>
          <w:tcPr>
            <w:tcW w:w="1842"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89</w:t>
            </w:r>
          </w:p>
        </w:tc>
        <w:tc>
          <w:tcPr>
            <w:tcW w:w="1134" w:type="dxa"/>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142,159</w:t>
            </w:r>
          </w:p>
        </w:tc>
      </w:tr>
      <w:tr w:rsidR="000E44A0" w:rsidRPr="006B5E87" w:rsidTr="002A69DC">
        <w:tc>
          <w:tcPr>
            <w:tcW w:w="1101" w:type="dxa"/>
            <w:tcBorders>
              <w:bottom w:val="nil"/>
            </w:tcBorders>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Varios</w:t>
            </w:r>
          </w:p>
        </w:tc>
        <w:tc>
          <w:tcPr>
            <w:tcW w:w="2551" w:type="dxa"/>
            <w:tcBorders>
              <w:bottom w:val="nil"/>
            </w:tcBorders>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Varios</w:t>
            </w:r>
          </w:p>
        </w:tc>
        <w:tc>
          <w:tcPr>
            <w:tcW w:w="3261" w:type="dxa"/>
            <w:tcBorders>
              <w:bottom w:val="nil"/>
            </w:tcBorders>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De 100 a menor de 1,000 </w:t>
            </w:r>
            <w:proofErr w:type="spellStart"/>
            <w:r w:rsidRPr="006B5E87">
              <w:rPr>
                <w:rFonts w:eastAsia="Calibri" w:cs="Arial"/>
                <w:sz w:val="20"/>
              </w:rPr>
              <w:t>hab</w:t>
            </w:r>
            <w:proofErr w:type="spellEnd"/>
          </w:p>
        </w:tc>
        <w:tc>
          <w:tcPr>
            <w:tcW w:w="1842" w:type="dxa"/>
            <w:tcBorders>
              <w:bottom w:val="nil"/>
            </w:tcBorders>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321</w:t>
            </w:r>
          </w:p>
        </w:tc>
        <w:tc>
          <w:tcPr>
            <w:tcW w:w="1134" w:type="dxa"/>
            <w:tcBorders>
              <w:bottom w:val="nil"/>
            </w:tcBorders>
            <w:shd w:val="clear" w:color="auto" w:fill="auto"/>
          </w:tcPr>
          <w:p w:rsidR="000E44A0" w:rsidRPr="006B5E87" w:rsidRDefault="000E44A0" w:rsidP="00F1681A">
            <w:pPr>
              <w:spacing w:before="20" w:after="20" w:line="240" w:lineRule="auto"/>
              <w:ind w:firstLine="0"/>
              <w:jc w:val="center"/>
              <w:rPr>
                <w:rFonts w:eastAsia="Calibri" w:cs="Arial"/>
                <w:sz w:val="20"/>
              </w:rPr>
            </w:pPr>
            <w:r w:rsidRPr="006B5E87">
              <w:rPr>
                <w:rFonts w:eastAsia="Calibri" w:cs="Arial"/>
                <w:sz w:val="20"/>
              </w:rPr>
              <w:t>137,209</w:t>
            </w:r>
          </w:p>
        </w:tc>
      </w:tr>
      <w:tr w:rsidR="000E44A0" w:rsidRPr="006B5E87" w:rsidTr="002A69DC">
        <w:tc>
          <w:tcPr>
            <w:tcW w:w="1101" w:type="dxa"/>
            <w:tcBorders>
              <w:top w:val="nil"/>
              <w:bottom w:val="single" w:sz="8" w:space="0" w:color="008000"/>
            </w:tcBorders>
            <w:shd w:val="clear" w:color="auto" w:fill="auto"/>
          </w:tcPr>
          <w:p w:rsidR="000E44A0" w:rsidRPr="006B5E87" w:rsidRDefault="000E44A0" w:rsidP="00F1681A">
            <w:pPr>
              <w:spacing w:before="20" w:after="20" w:line="240" w:lineRule="auto"/>
              <w:ind w:firstLine="0"/>
              <w:rPr>
                <w:rFonts w:eastAsia="Calibri" w:cs="Arial"/>
                <w:sz w:val="20"/>
              </w:rPr>
            </w:pPr>
            <w:r w:rsidRPr="006B5E87">
              <w:rPr>
                <w:rFonts w:eastAsia="Calibri" w:cs="Arial"/>
                <w:sz w:val="20"/>
              </w:rPr>
              <w:t>Varios</w:t>
            </w:r>
          </w:p>
        </w:tc>
        <w:tc>
          <w:tcPr>
            <w:tcW w:w="2551" w:type="dxa"/>
            <w:tcBorders>
              <w:top w:val="nil"/>
              <w:bottom w:val="single" w:sz="8" w:space="0" w:color="008000"/>
            </w:tcBorders>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Varios</w:t>
            </w:r>
          </w:p>
        </w:tc>
        <w:tc>
          <w:tcPr>
            <w:tcW w:w="3261" w:type="dxa"/>
            <w:tcBorders>
              <w:top w:val="nil"/>
              <w:bottom w:val="single" w:sz="8" w:space="0" w:color="008000"/>
            </w:tcBorders>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 xml:space="preserve">Menor a 100 </w:t>
            </w:r>
            <w:proofErr w:type="spellStart"/>
            <w:r w:rsidRPr="006B5E87">
              <w:rPr>
                <w:rFonts w:eastAsia="Calibri" w:cs="Arial"/>
                <w:sz w:val="20"/>
              </w:rPr>
              <w:t>hab</w:t>
            </w:r>
            <w:proofErr w:type="spellEnd"/>
          </w:p>
        </w:tc>
        <w:tc>
          <w:tcPr>
            <w:tcW w:w="1842" w:type="dxa"/>
            <w:tcBorders>
              <w:top w:val="nil"/>
              <w:bottom w:val="single" w:sz="8" w:space="0" w:color="008000"/>
            </w:tcBorders>
            <w:shd w:val="clear" w:color="auto" w:fill="auto"/>
          </w:tcPr>
          <w:p w:rsidR="000E44A0" w:rsidRPr="006B5E87" w:rsidRDefault="000E44A0" w:rsidP="00A63B07">
            <w:pPr>
              <w:spacing w:before="20" w:after="20" w:line="240" w:lineRule="auto"/>
              <w:ind w:firstLine="0"/>
              <w:jc w:val="center"/>
              <w:rPr>
                <w:rFonts w:eastAsia="Calibri" w:cs="Arial"/>
                <w:sz w:val="20"/>
              </w:rPr>
            </w:pPr>
            <w:r w:rsidRPr="006B5E87">
              <w:rPr>
                <w:rFonts w:eastAsia="Calibri" w:cs="Arial"/>
                <w:sz w:val="20"/>
              </w:rPr>
              <w:t>5</w:t>
            </w:r>
            <w:r w:rsidR="00A63B07">
              <w:rPr>
                <w:rFonts w:eastAsia="Calibri" w:cs="Arial"/>
                <w:sz w:val="20"/>
              </w:rPr>
              <w:t>29</w:t>
            </w:r>
          </w:p>
        </w:tc>
        <w:tc>
          <w:tcPr>
            <w:tcW w:w="1134" w:type="dxa"/>
            <w:tcBorders>
              <w:top w:val="nil"/>
              <w:bottom w:val="single" w:sz="8" w:space="0" w:color="008000"/>
            </w:tcBorders>
            <w:shd w:val="clear" w:color="auto" w:fill="auto"/>
          </w:tcPr>
          <w:p w:rsidR="000E44A0" w:rsidRPr="006B5E87" w:rsidRDefault="000E44A0" w:rsidP="00A63B07">
            <w:pPr>
              <w:spacing w:before="20" w:after="20" w:line="240" w:lineRule="auto"/>
              <w:ind w:firstLine="0"/>
              <w:jc w:val="center"/>
              <w:rPr>
                <w:rFonts w:eastAsia="Calibri" w:cs="Arial"/>
                <w:sz w:val="20"/>
              </w:rPr>
            </w:pPr>
            <w:r w:rsidRPr="006B5E87">
              <w:rPr>
                <w:rFonts w:eastAsia="Calibri" w:cs="Arial"/>
                <w:sz w:val="20"/>
              </w:rPr>
              <w:t>10,</w:t>
            </w:r>
            <w:r w:rsidR="00A63B07">
              <w:rPr>
                <w:rFonts w:eastAsia="Calibri" w:cs="Arial"/>
                <w:sz w:val="20"/>
              </w:rPr>
              <w:t>578</w:t>
            </w:r>
          </w:p>
        </w:tc>
      </w:tr>
      <w:tr w:rsidR="000E44A0" w:rsidRPr="006B5E87" w:rsidTr="002A69DC">
        <w:tc>
          <w:tcPr>
            <w:tcW w:w="1101" w:type="dxa"/>
            <w:tcBorders>
              <w:top w:val="single" w:sz="8" w:space="0" w:color="008000"/>
            </w:tcBorders>
            <w:shd w:val="clear" w:color="auto" w:fill="auto"/>
          </w:tcPr>
          <w:p w:rsidR="000E44A0" w:rsidRPr="006B5E87" w:rsidRDefault="000E44A0" w:rsidP="00F1681A">
            <w:pPr>
              <w:spacing w:before="20" w:after="20" w:line="240" w:lineRule="auto"/>
              <w:ind w:firstLine="0"/>
              <w:rPr>
                <w:rFonts w:eastAsia="Calibri" w:cs="Arial"/>
                <w:sz w:val="20"/>
              </w:rPr>
            </w:pPr>
          </w:p>
        </w:tc>
        <w:tc>
          <w:tcPr>
            <w:tcW w:w="2551" w:type="dxa"/>
            <w:tcBorders>
              <w:top w:val="single" w:sz="8" w:space="0" w:color="008000"/>
            </w:tcBorders>
            <w:shd w:val="clear" w:color="auto" w:fill="auto"/>
          </w:tcPr>
          <w:p w:rsidR="000E44A0" w:rsidRPr="006B5E87" w:rsidRDefault="000E44A0" w:rsidP="00F1681A">
            <w:pPr>
              <w:spacing w:before="20" w:after="20" w:line="240" w:lineRule="auto"/>
              <w:ind w:firstLine="0"/>
              <w:rPr>
                <w:rFonts w:eastAsia="Calibri" w:cs="Arial"/>
                <w:sz w:val="20"/>
              </w:rPr>
            </w:pPr>
          </w:p>
        </w:tc>
        <w:tc>
          <w:tcPr>
            <w:tcW w:w="3261" w:type="dxa"/>
            <w:tcBorders>
              <w:top w:val="single" w:sz="8" w:space="0" w:color="008000"/>
            </w:tcBorders>
            <w:shd w:val="clear" w:color="auto" w:fill="auto"/>
          </w:tcPr>
          <w:p w:rsidR="000E44A0" w:rsidRPr="006B5E87" w:rsidRDefault="000E44A0" w:rsidP="00F1681A">
            <w:pPr>
              <w:spacing w:before="20" w:after="20" w:line="240" w:lineRule="auto"/>
              <w:ind w:firstLine="0"/>
              <w:jc w:val="left"/>
              <w:rPr>
                <w:rFonts w:eastAsia="Calibri" w:cs="Arial"/>
                <w:sz w:val="20"/>
              </w:rPr>
            </w:pPr>
            <w:r w:rsidRPr="006B5E87">
              <w:rPr>
                <w:rFonts w:eastAsia="Calibri" w:cs="Arial"/>
                <w:sz w:val="20"/>
              </w:rPr>
              <w:t>TOTAL</w:t>
            </w:r>
          </w:p>
        </w:tc>
        <w:tc>
          <w:tcPr>
            <w:tcW w:w="1842" w:type="dxa"/>
            <w:tcBorders>
              <w:top w:val="single" w:sz="8" w:space="0" w:color="008000"/>
            </w:tcBorders>
            <w:shd w:val="clear" w:color="auto" w:fill="auto"/>
          </w:tcPr>
          <w:p w:rsidR="000E44A0" w:rsidRPr="006B5E87" w:rsidRDefault="000E44A0" w:rsidP="00A63B07">
            <w:pPr>
              <w:spacing w:before="20" w:after="20" w:line="240" w:lineRule="auto"/>
              <w:ind w:firstLine="0"/>
              <w:jc w:val="center"/>
              <w:rPr>
                <w:rFonts w:eastAsia="Calibri" w:cs="Arial"/>
                <w:sz w:val="20"/>
              </w:rPr>
            </w:pPr>
            <w:r w:rsidRPr="006B5E87">
              <w:rPr>
                <w:rFonts w:eastAsia="Calibri" w:cs="Arial"/>
                <w:sz w:val="20"/>
              </w:rPr>
              <w:t>98</w:t>
            </w:r>
            <w:r w:rsidR="00A63B07">
              <w:rPr>
                <w:rFonts w:eastAsia="Calibri" w:cs="Arial"/>
                <w:sz w:val="20"/>
              </w:rPr>
              <w:t>3</w:t>
            </w:r>
          </w:p>
        </w:tc>
        <w:tc>
          <w:tcPr>
            <w:tcW w:w="1134" w:type="dxa"/>
            <w:tcBorders>
              <w:top w:val="single" w:sz="8" w:space="0" w:color="008000"/>
            </w:tcBorders>
            <w:shd w:val="clear" w:color="auto" w:fill="auto"/>
          </w:tcPr>
          <w:p w:rsidR="000E44A0" w:rsidRPr="006B5E87" w:rsidRDefault="000E44A0" w:rsidP="00A63B07">
            <w:pPr>
              <w:spacing w:before="20" w:after="20" w:line="240" w:lineRule="auto"/>
              <w:ind w:firstLine="0"/>
              <w:jc w:val="center"/>
              <w:rPr>
                <w:rFonts w:eastAsia="Calibri" w:cs="Arial"/>
                <w:sz w:val="20"/>
              </w:rPr>
            </w:pPr>
            <w:r w:rsidRPr="006B5E87">
              <w:rPr>
                <w:rFonts w:eastAsia="Calibri" w:cs="Arial"/>
                <w:sz w:val="20"/>
              </w:rPr>
              <w:t>662,6</w:t>
            </w:r>
            <w:r w:rsidR="00A63B07">
              <w:rPr>
                <w:rFonts w:eastAsia="Calibri" w:cs="Arial"/>
                <w:sz w:val="20"/>
              </w:rPr>
              <w:t>05</w:t>
            </w:r>
          </w:p>
        </w:tc>
      </w:tr>
    </w:tbl>
    <w:p w:rsidR="000E44A0" w:rsidRPr="000E44A0" w:rsidRDefault="000E44A0" w:rsidP="000E44A0">
      <w:pPr>
        <w:pStyle w:val="Fuente"/>
      </w:pPr>
      <w:r w:rsidRPr="000E44A0">
        <w:t>FUENTE: INEGI. Censo 2000, conteo 2005. CONAPO. Proyección de la población 2005-2050</w:t>
      </w:r>
    </w:p>
    <w:p w:rsidR="000E44A0" w:rsidRDefault="00942FB8" w:rsidP="00942FB8">
      <w:pPr>
        <w:pStyle w:val="figura1cap5"/>
      </w:pPr>
      <w:r>
        <w:t xml:space="preserve">Área de estudio. Población actual </w:t>
      </w:r>
      <w:r w:rsidR="00CC16AF">
        <w:t>(2009)</w:t>
      </w:r>
    </w:p>
    <w:p w:rsidR="00942FB8" w:rsidRDefault="008011C2" w:rsidP="006E5B7F">
      <w:pPr>
        <w:ind w:firstLine="0"/>
        <w:jc w:val="center"/>
      </w:pPr>
      <w:r>
        <w:rPr>
          <w:noProof/>
          <w:lang w:eastAsia="es-MX"/>
        </w:rPr>
        <w:drawing>
          <wp:inline distT="0" distB="0" distL="0" distR="0">
            <wp:extent cx="5874328" cy="4405746"/>
            <wp:effectExtent l="19050" t="0" r="0" b="0"/>
            <wp:docPr id="8" name="Imagen 8" descr="poblacion ac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blacion actual"/>
                    <pic:cNvPicPr>
                      <a:picLocks noChangeAspect="1" noChangeArrowheads="1"/>
                    </pic:cNvPicPr>
                  </pic:nvPicPr>
                  <pic:blipFill>
                    <a:blip r:embed="rId19" cstate="print"/>
                    <a:srcRect l="3690" t="4910" r="3964" b="5609"/>
                    <a:stretch>
                      <a:fillRect/>
                    </a:stretch>
                  </pic:blipFill>
                  <pic:spPr bwMode="auto">
                    <a:xfrm>
                      <a:off x="0" y="0"/>
                      <a:ext cx="5879558" cy="4409668"/>
                    </a:xfrm>
                    <a:prstGeom prst="rect">
                      <a:avLst/>
                    </a:prstGeom>
                    <a:noFill/>
                    <a:ln w="9525">
                      <a:noFill/>
                      <a:miter lim="800000"/>
                      <a:headEnd/>
                      <a:tailEnd/>
                    </a:ln>
                  </pic:spPr>
                </pic:pic>
              </a:graphicData>
            </a:graphic>
          </wp:inline>
        </w:drawing>
      </w:r>
    </w:p>
    <w:p w:rsidR="00942FB8" w:rsidRDefault="00942FB8" w:rsidP="00942FB8">
      <w:r w:rsidRPr="00A8633B">
        <w:lastRenderedPageBreak/>
        <w:t>Para calcular la población futur</w:t>
      </w:r>
      <w:r>
        <w:t>a</w:t>
      </w:r>
      <w:r w:rsidRPr="00A8633B">
        <w:t xml:space="preserve"> se consideraron las tasas de crecimiento del Consejo Nacional de Población 2005-2030 (CONAPO) y para completar el periodo de proyecto al año 2040 se extrapolaron las tasas de crecimiento de</w:t>
      </w:r>
      <w:r>
        <w:t xml:space="preserve"> cada municipio según</w:t>
      </w:r>
      <w:r w:rsidRPr="00A8633B">
        <w:t xml:space="preserve"> CONAPO con modelos de regresión matemática</w:t>
      </w:r>
      <w:r>
        <w:t>.</w:t>
      </w:r>
    </w:p>
    <w:p w:rsidR="00942FB8" w:rsidRDefault="00942FB8" w:rsidP="00942FB8">
      <w:r>
        <w:t xml:space="preserve">En la </w:t>
      </w:r>
      <w:r w:rsidR="00BE2961">
        <w:fldChar w:fldCharType="begin"/>
      </w:r>
      <w:r>
        <w:instrText xml:space="preserve"> REF _Ref259987592 \r \h </w:instrText>
      </w:r>
      <w:r w:rsidR="00BE2961">
        <w:fldChar w:fldCharType="separate"/>
      </w:r>
      <w:r w:rsidR="001C36B4">
        <w:t>Tabla 5.3</w:t>
      </w:r>
      <w:r w:rsidR="00BE2961">
        <w:fldChar w:fldCharType="end"/>
      </w:r>
      <w:r>
        <w:t xml:space="preserve"> se presentan las tasas de crecimiento medio anual para cada localidad en el área de estudio, en ella se aprecia que Ciudad Serdán tiene tasas negativas; el resto de las localidades tienen tasas positivas, aunque decrecientes, la tasa total de la zona de estudio disminuirá del 1.02%  en el periodo 2009 a 2040.</w:t>
      </w:r>
    </w:p>
    <w:p w:rsidR="00942FB8" w:rsidRDefault="00942FB8" w:rsidP="00942FB8">
      <w:pPr>
        <w:pStyle w:val="Tabla1cap5"/>
      </w:pPr>
      <w:bookmarkStart w:id="27" w:name="_Toc259551977"/>
      <w:bookmarkStart w:id="28" w:name="_Toc259787106"/>
      <w:bookmarkStart w:id="29" w:name="_Ref259987592"/>
      <w:r>
        <w:t>Área de estudio. Tasa de crecimiento según municipio</w:t>
      </w:r>
      <w:bookmarkEnd w:id="27"/>
      <w:bookmarkEnd w:id="28"/>
      <w:bookmarkEnd w:id="29"/>
    </w:p>
    <w:tbl>
      <w:tblPr>
        <w:tblStyle w:val="Tablabsica1"/>
        <w:tblW w:w="10051" w:type="dxa"/>
        <w:tblLook w:val="04A0"/>
      </w:tblPr>
      <w:tblGrid>
        <w:gridCol w:w="3227"/>
        <w:gridCol w:w="850"/>
        <w:gridCol w:w="851"/>
        <w:gridCol w:w="939"/>
        <w:gridCol w:w="1046"/>
        <w:gridCol w:w="1046"/>
        <w:gridCol w:w="1046"/>
        <w:gridCol w:w="1046"/>
      </w:tblGrid>
      <w:tr w:rsidR="002A69DC" w:rsidRPr="002A69DC" w:rsidTr="002A69DC">
        <w:trPr>
          <w:cnfStyle w:val="100000000000"/>
        </w:trPr>
        <w:tc>
          <w:tcPr>
            <w:tcW w:w="3227" w:type="dxa"/>
          </w:tcPr>
          <w:p w:rsidR="002A69DC" w:rsidRPr="002A69DC" w:rsidRDefault="002A69DC" w:rsidP="002A69DC">
            <w:pPr>
              <w:spacing w:before="0" w:after="0" w:line="240" w:lineRule="auto"/>
              <w:ind w:firstLine="0"/>
              <w:rPr>
                <w:sz w:val="20"/>
              </w:rPr>
            </w:pPr>
            <w:r w:rsidRPr="002A69DC">
              <w:rPr>
                <w:sz w:val="20"/>
              </w:rPr>
              <w:t>Localidad</w:t>
            </w:r>
          </w:p>
        </w:tc>
        <w:tc>
          <w:tcPr>
            <w:tcW w:w="850" w:type="dxa"/>
          </w:tcPr>
          <w:p w:rsidR="002A69DC" w:rsidRPr="002A69DC" w:rsidRDefault="002A69DC" w:rsidP="002A69DC">
            <w:pPr>
              <w:spacing w:before="0" w:after="0" w:line="240" w:lineRule="auto"/>
              <w:ind w:firstLine="0"/>
              <w:rPr>
                <w:sz w:val="20"/>
              </w:rPr>
            </w:pPr>
            <w:r w:rsidRPr="002A69DC">
              <w:rPr>
                <w:sz w:val="20"/>
              </w:rPr>
              <w:t>2009</w:t>
            </w:r>
          </w:p>
        </w:tc>
        <w:tc>
          <w:tcPr>
            <w:tcW w:w="851" w:type="dxa"/>
          </w:tcPr>
          <w:p w:rsidR="002A69DC" w:rsidRPr="002A69DC" w:rsidRDefault="002A69DC" w:rsidP="002A69DC">
            <w:pPr>
              <w:spacing w:before="0" w:after="0" w:line="240" w:lineRule="auto"/>
              <w:ind w:firstLine="0"/>
              <w:rPr>
                <w:sz w:val="20"/>
              </w:rPr>
            </w:pPr>
            <w:r w:rsidRPr="002A69DC">
              <w:rPr>
                <w:sz w:val="20"/>
              </w:rPr>
              <w:t>2012</w:t>
            </w:r>
          </w:p>
        </w:tc>
        <w:tc>
          <w:tcPr>
            <w:tcW w:w="939" w:type="dxa"/>
          </w:tcPr>
          <w:p w:rsidR="002A69DC" w:rsidRPr="002A69DC" w:rsidRDefault="002A69DC" w:rsidP="002A69DC">
            <w:pPr>
              <w:spacing w:before="0" w:after="0" w:line="240" w:lineRule="auto"/>
              <w:ind w:firstLine="0"/>
              <w:rPr>
                <w:sz w:val="20"/>
              </w:rPr>
            </w:pPr>
            <w:r w:rsidRPr="002A69DC">
              <w:rPr>
                <w:sz w:val="20"/>
              </w:rPr>
              <w:t>2018</w:t>
            </w:r>
          </w:p>
        </w:tc>
        <w:tc>
          <w:tcPr>
            <w:tcW w:w="1046" w:type="dxa"/>
          </w:tcPr>
          <w:p w:rsidR="002A69DC" w:rsidRPr="002A69DC" w:rsidRDefault="002A69DC" w:rsidP="002A69DC">
            <w:pPr>
              <w:spacing w:before="0" w:after="0" w:line="240" w:lineRule="auto"/>
              <w:ind w:firstLine="0"/>
              <w:rPr>
                <w:sz w:val="20"/>
              </w:rPr>
            </w:pPr>
            <w:r w:rsidRPr="002A69DC">
              <w:rPr>
                <w:sz w:val="20"/>
              </w:rPr>
              <w:t>2024</w:t>
            </w:r>
          </w:p>
        </w:tc>
        <w:tc>
          <w:tcPr>
            <w:tcW w:w="1046" w:type="dxa"/>
          </w:tcPr>
          <w:p w:rsidR="002A69DC" w:rsidRPr="002A69DC" w:rsidRDefault="002A69DC" w:rsidP="002A69DC">
            <w:pPr>
              <w:spacing w:before="0" w:after="0" w:line="240" w:lineRule="auto"/>
              <w:ind w:firstLine="0"/>
              <w:rPr>
                <w:sz w:val="20"/>
              </w:rPr>
            </w:pPr>
            <w:r w:rsidRPr="002A69DC">
              <w:rPr>
                <w:sz w:val="20"/>
              </w:rPr>
              <w:t>2030</w:t>
            </w:r>
          </w:p>
        </w:tc>
        <w:tc>
          <w:tcPr>
            <w:tcW w:w="1046" w:type="dxa"/>
          </w:tcPr>
          <w:p w:rsidR="002A69DC" w:rsidRPr="002A69DC" w:rsidRDefault="002A69DC" w:rsidP="002A69DC">
            <w:pPr>
              <w:spacing w:before="0" w:after="0" w:line="240" w:lineRule="auto"/>
              <w:ind w:firstLine="0"/>
              <w:rPr>
                <w:sz w:val="20"/>
              </w:rPr>
            </w:pPr>
            <w:r w:rsidRPr="002A69DC">
              <w:rPr>
                <w:sz w:val="20"/>
              </w:rPr>
              <w:t>2035</w:t>
            </w:r>
          </w:p>
        </w:tc>
        <w:tc>
          <w:tcPr>
            <w:tcW w:w="1046" w:type="dxa"/>
          </w:tcPr>
          <w:p w:rsidR="002A69DC" w:rsidRPr="002A69DC" w:rsidRDefault="002A69DC" w:rsidP="002A69DC">
            <w:pPr>
              <w:spacing w:before="0" w:after="0" w:line="240" w:lineRule="auto"/>
              <w:ind w:firstLine="0"/>
              <w:rPr>
                <w:sz w:val="20"/>
              </w:rPr>
            </w:pPr>
            <w:r w:rsidRPr="002A69DC">
              <w:rPr>
                <w:sz w:val="20"/>
              </w:rPr>
              <w:t>2040</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Ciudad Serdán</w:t>
            </w:r>
          </w:p>
        </w:tc>
        <w:tc>
          <w:tcPr>
            <w:tcW w:w="850" w:type="dxa"/>
          </w:tcPr>
          <w:p w:rsidR="002A69DC" w:rsidRPr="002A69DC" w:rsidRDefault="002A69DC" w:rsidP="002A69DC">
            <w:pPr>
              <w:spacing w:before="0" w:after="0" w:line="240" w:lineRule="auto"/>
              <w:ind w:firstLine="0"/>
              <w:rPr>
                <w:sz w:val="20"/>
              </w:rPr>
            </w:pPr>
            <w:r w:rsidRPr="002A69DC">
              <w:rPr>
                <w:sz w:val="20"/>
              </w:rPr>
              <w:t xml:space="preserve">0.27 </w:t>
            </w:r>
          </w:p>
        </w:tc>
        <w:tc>
          <w:tcPr>
            <w:tcW w:w="851" w:type="dxa"/>
          </w:tcPr>
          <w:p w:rsidR="002A69DC" w:rsidRPr="002A69DC" w:rsidRDefault="002A69DC" w:rsidP="002A69DC">
            <w:pPr>
              <w:spacing w:before="0" w:after="0" w:line="240" w:lineRule="auto"/>
              <w:ind w:firstLine="0"/>
              <w:rPr>
                <w:sz w:val="20"/>
              </w:rPr>
            </w:pPr>
            <w:r w:rsidRPr="002A69DC">
              <w:rPr>
                <w:sz w:val="20"/>
              </w:rPr>
              <w:t xml:space="preserve">0.12 </w:t>
            </w:r>
          </w:p>
        </w:tc>
        <w:tc>
          <w:tcPr>
            <w:tcW w:w="939" w:type="dxa"/>
          </w:tcPr>
          <w:p w:rsidR="002A69DC" w:rsidRPr="002A69DC" w:rsidRDefault="002A69DC" w:rsidP="002A69DC">
            <w:pPr>
              <w:spacing w:before="0" w:after="0" w:line="240" w:lineRule="auto"/>
              <w:ind w:firstLine="0"/>
              <w:rPr>
                <w:sz w:val="20"/>
              </w:rPr>
            </w:pPr>
            <w:r w:rsidRPr="002A69DC">
              <w:rPr>
                <w:sz w:val="20"/>
              </w:rPr>
              <w:t xml:space="preserve">-0.06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-0.22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-0.41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-0.57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-0.72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Ciudad de Libres</w:t>
            </w:r>
          </w:p>
        </w:tc>
        <w:tc>
          <w:tcPr>
            <w:tcW w:w="850" w:type="dxa"/>
          </w:tcPr>
          <w:p w:rsidR="002A69DC" w:rsidRPr="002A69DC" w:rsidRDefault="002A69DC" w:rsidP="002A69DC">
            <w:pPr>
              <w:spacing w:before="0" w:after="0" w:line="240" w:lineRule="auto"/>
              <w:ind w:firstLine="0"/>
              <w:rPr>
                <w:sz w:val="20"/>
              </w:rPr>
            </w:pPr>
            <w:r w:rsidRPr="002A69DC">
              <w:rPr>
                <w:sz w:val="20"/>
              </w:rPr>
              <w:t xml:space="preserve">1.36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1.19 </w:t>
            </w:r>
          </w:p>
        </w:tc>
        <w:tc>
          <w:tcPr>
            <w:tcW w:w="939" w:type="dxa"/>
          </w:tcPr>
          <w:p w:rsidR="002A69DC" w:rsidRPr="002A69DC" w:rsidRDefault="002A69DC" w:rsidP="002A69DC">
            <w:pPr>
              <w:spacing w:before="0" w:after="0" w:line="240" w:lineRule="auto"/>
              <w:ind w:firstLine="0"/>
              <w:rPr>
                <w:sz w:val="20"/>
              </w:rPr>
            </w:pPr>
            <w:r w:rsidRPr="002A69DC">
              <w:rPr>
                <w:sz w:val="20"/>
              </w:rPr>
              <w:t xml:space="preserve">0.88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0.62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0.34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0.14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-0.08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San Salvador el Seco</w:t>
            </w:r>
          </w:p>
        </w:tc>
        <w:tc>
          <w:tcPr>
            <w:tcW w:w="850" w:type="dxa"/>
          </w:tcPr>
          <w:p w:rsidR="002A69DC" w:rsidRPr="002A69DC" w:rsidRDefault="002A69DC" w:rsidP="002A69DC">
            <w:pPr>
              <w:spacing w:before="0" w:after="0" w:line="240" w:lineRule="auto"/>
              <w:ind w:firstLine="0"/>
              <w:rPr>
                <w:sz w:val="20"/>
              </w:rPr>
            </w:pPr>
            <w:r w:rsidRPr="002A69DC">
              <w:rPr>
                <w:sz w:val="20"/>
              </w:rPr>
              <w:t xml:space="preserve">1.56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1.42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1.20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0.98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0.76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0.41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Huamantla</w:t>
            </w:r>
          </w:p>
        </w:tc>
        <w:tc>
          <w:tcPr>
            <w:tcW w:w="850" w:type="dxa"/>
          </w:tcPr>
          <w:p w:rsidR="002A69DC" w:rsidRPr="002A69DC" w:rsidRDefault="002A69DC" w:rsidP="002A69DC">
            <w:pPr>
              <w:spacing w:before="0" w:after="0" w:line="240" w:lineRule="auto"/>
              <w:ind w:firstLine="0"/>
              <w:rPr>
                <w:sz w:val="20"/>
              </w:rPr>
            </w:pPr>
            <w:r w:rsidRPr="002A69DC">
              <w:rPr>
                <w:sz w:val="20"/>
              </w:rPr>
              <w:t xml:space="preserve">2.42 </w:t>
            </w:r>
          </w:p>
        </w:tc>
        <w:tc>
          <w:tcPr>
            <w:tcW w:w="851" w:type="dxa"/>
          </w:tcPr>
          <w:p w:rsidR="002A69DC" w:rsidRPr="002A69DC" w:rsidRDefault="002A69DC" w:rsidP="002A69DC">
            <w:pPr>
              <w:spacing w:before="0" w:after="0" w:line="240" w:lineRule="auto"/>
              <w:ind w:firstLine="0"/>
              <w:rPr>
                <w:sz w:val="20"/>
              </w:rPr>
            </w:pPr>
            <w:r w:rsidRPr="002A69DC">
              <w:rPr>
                <w:sz w:val="20"/>
              </w:rPr>
              <w:t xml:space="preserve">2.27 </w:t>
            </w:r>
          </w:p>
        </w:tc>
        <w:tc>
          <w:tcPr>
            <w:tcW w:w="939" w:type="dxa"/>
          </w:tcPr>
          <w:p w:rsidR="002A69DC" w:rsidRPr="002A69DC" w:rsidRDefault="002A69DC" w:rsidP="002A69DC">
            <w:pPr>
              <w:spacing w:before="0" w:after="0" w:line="240" w:lineRule="auto"/>
              <w:ind w:firstLine="0"/>
              <w:rPr>
                <w:sz w:val="20"/>
              </w:rPr>
            </w:pPr>
            <w:r w:rsidRPr="002A69DC">
              <w:rPr>
                <w:sz w:val="20"/>
              </w:rPr>
              <w:t xml:space="preserve">2.01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1.79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1.56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1.37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1.17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 xml:space="preserve">Villa de El Carmen </w:t>
            </w:r>
            <w:proofErr w:type="spellStart"/>
            <w:r w:rsidRPr="002A69DC">
              <w:rPr>
                <w:sz w:val="20"/>
              </w:rPr>
              <w:t>Tequexquitla</w:t>
            </w:r>
            <w:proofErr w:type="spellEnd"/>
          </w:p>
        </w:tc>
        <w:tc>
          <w:tcPr>
            <w:tcW w:w="850" w:type="dxa"/>
          </w:tcPr>
          <w:p w:rsidR="002A69DC" w:rsidRPr="002A69DC" w:rsidRDefault="002A69DC" w:rsidP="002A69DC">
            <w:pPr>
              <w:spacing w:before="0" w:after="0" w:line="240" w:lineRule="auto"/>
              <w:ind w:firstLine="0"/>
              <w:rPr>
                <w:sz w:val="20"/>
              </w:rPr>
            </w:pPr>
            <w:r w:rsidRPr="002A69DC">
              <w:rPr>
                <w:sz w:val="20"/>
              </w:rPr>
              <w:t xml:space="preserve">2.00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1.87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1.67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1.50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1.30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1.14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0.97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Perote</w:t>
            </w:r>
          </w:p>
        </w:tc>
        <w:tc>
          <w:tcPr>
            <w:tcW w:w="850" w:type="dxa"/>
          </w:tcPr>
          <w:p w:rsidR="002A69DC" w:rsidRPr="002A69DC" w:rsidRDefault="002A69DC" w:rsidP="002A69DC">
            <w:pPr>
              <w:spacing w:before="0" w:after="0" w:line="240" w:lineRule="auto"/>
              <w:ind w:firstLine="0"/>
              <w:rPr>
                <w:sz w:val="20"/>
              </w:rPr>
            </w:pPr>
            <w:r w:rsidRPr="002A69DC">
              <w:rPr>
                <w:sz w:val="20"/>
              </w:rPr>
              <w:t xml:space="preserve">2.43 </w:t>
            </w:r>
          </w:p>
        </w:tc>
        <w:tc>
          <w:tcPr>
            <w:tcW w:w="851" w:type="dxa"/>
          </w:tcPr>
          <w:p w:rsidR="002A69DC" w:rsidRPr="002A69DC" w:rsidRDefault="002A69DC" w:rsidP="002A69DC">
            <w:pPr>
              <w:spacing w:before="0" w:after="0" w:line="240" w:lineRule="auto"/>
              <w:ind w:firstLine="0"/>
              <w:rPr>
                <w:sz w:val="20"/>
              </w:rPr>
            </w:pPr>
            <w:r w:rsidRPr="002A69DC">
              <w:rPr>
                <w:sz w:val="20"/>
              </w:rPr>
              <w:t xml:space="preserve">2.24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1.88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1.58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1.25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0.98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0.72 </w:t>
            </w:r>
          </w:p>
        </w:tc>
      </w:tr>
      <w:tr w:rsidR="002A69DC" w:rsidRPr="002A69DC" w:rsidTr="002A69DC">
        <w:tc>
          <w:tcPr>
            <w:tcW w:w="3227" w:type="dxa"/>
          </w:tcPr>
          <w:p w:rsidR="002A69DC" w:rsidRPr="002A69DC" w:rsidRDefault="002A69DC" w:rsidP="002A69DC">
            <w:pPr>
              <w:spacing w:before="0" w:after="0" w:line="240" w:lineRule="auto"/>
              <w:ind w:firstLine="0"/>
              <w:rPr>
                <w:sz w:val="20"/>
              </w:rPr>
            </w:pPr>
            <w:proofErr w:type="spellStart"/>
            <w:r w:rsidRPr="002A69DC">
              <w:rPr>
                <w:sz w:val="20"/>
              </w:rPr>
              <w:t>Altotonga</w:t>
            </w:r>
            <w:proofErr w:type="spellEnd"/>
          </w:p>
        </w:tc>
        <w:tc>
          <w:tcPr>
            <w:tcW w:w="850" w:type="dxa"/>
          </w:tcPr>
          <w:p w:rsidR="002A69DC" w:rsidRPr="002A69DC" w:rsidRDefault="002A69DC" w:rsidP="002A69DC">
            <w:pPr>
              <w:spacing w:before="0" w:after="0" w:line="240" w:lineRule="auto"/>
              <w:ind w:firstLine="0"/>
              <w:rPr>
                <w:sz w:val="20"/>
              </w:rPr>
            </w:pPr>
            <w:r w:rsidRPr="002A69DC">
              <w:rPr>
                <w:sz w:val="20"/>
              </w:rPr>
              <w:t xml:space="preserve">1.81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1.65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1.39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1.13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0.87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0.65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0.43 </w:t>
            </w:r>
          </w:p>
        </w:tc>
      </w:tr>
      <w:tr w:rsidR="002A69DC" w:rsidRPr="002A69DC" w:rsidTr="002A69DC">
        <w:tc>
          <w:tcPr>
            <w:tcW w:w="3227" w:type="dxa"/>
          </w:tcPr>
          <w:p w:rsidR="002A69DC" w:rsidRPr="002A69DC" w:rsidRDefault="002A69DC" w:rsidP="002A69DC">
            <w:pPr>
              <w:spacing w:before="0" w:after="0" w:line="240" w:lineRule="auto"/>
              <w:ind w:firstLine="0"/>
              <w:rPr>
                <w:sz w:val="20"/>
              </w:rPr>
            </w:pPr>
            <w:proofErr w:type="spellStart"/>
            <w:r w:rsidRPr="002A69DC">
              <w:rPr>
                <w:sz w:val="20"/>
              </w:rPr>
              <w:t>Jalacingo</w:t>
            </w:r>
            <w:proofErr w:type="spellEnd"/>
          </w:p>
        </w:tc>
        <w:tc>
          <w:tcPr>
            <w:tcW w:w="850" w:type="dxa"/>
          </w:tcPr>
          <w:p w:rsidR="002A69DC" w:rsidRPr="002A69DC" w:rsidRDefault="002A69DC" w:rsidP="002A69DC">
            <w:pPr>
              <w:spacing w:before="0" w:after="0" w:line="240" w:lineRule="auto"/>
              <w:ind w:firstLine="0"/>
              <w:rPr>
                <w:sz w:val="20"/>
              </w:rPr>
            </w:pPr>
            <w:r w:rsidRPr="002A69DC">
              <w:rPr>
                <w:sz w:val="20"/>
              </w:rPr>
              <w:t xml:space="preserve">2.80 </w:t>
            </w:r>
          </w:p>
        </w:tc>
        <w:tc>
          <w:tcPr>
            <w:tcW w:w="851" w:type="dxa"/>
          </w:tcPr>
          <w:p w:rsidR="002A69DC" w:rsidRPr="002A69DC" w:rsidRDefault="002A69DC" w:rsidP="002A69DC">
            <w:pPr>
              <w:spacing w:before="0" w:after="0" w:line="240" w:lineRule="auto"/>
              <w:ind w:firstLine="0"/>
              <w:rPr>
                <w:sz w:val="20"/>
              </w:rPr>
            </w:pPr>
            <w:r w:rsidRPr="002A69DC">
              <w:rPr>
                <w:sz w:val="20"/>
              </w:rPr>
              <w:t xml:space="preserve">2.59 </w:t>
            </w:r>
          </w:p>
        </w:tc>
        <w:tc>
          <w:tcPr>
            <w:tcW w:w="939" w:type="dxa"/>
          </w:tcPr>
          <w:p w:rsidR="002A69DC" w:rsidRPr="002A69DC" w:rsidRDefault="002A69DC" w:rsidP="002A69DC">
            <w:pPr>
              <w:spacing w:before="0" w:after="0" w:line="240" w:lineRule="auto"/>
              <w:ind w:firstLine="0"/>
              <w:rPr>
                <w:sz w:val="20"/>
              </w:rPr>
            </w:pPr>
            <w:r w:rsidRPr="002A69DC">
              <w:rPr>
                <w:sz w:val="20"/>
              </w:rPr>
              <w:t xml:space="preserve">2.22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1.89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1.56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1.29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1.02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 xml:space="preserve">5,000 - 10,000 </w:t>
            </w:r>
            <w:proofErr w:type="spellStart"/>
            <w:r w:rsidRPr="002A69DC">
              <w:rPr>
                <w:sz w:val="20"/>
              </w:rPr>
              <w:t>hab</w:t>
            </w:r>
            <w:proofErr w:type="spellEnd"/>
            <w:r w:rsidRPr="002A69DC">
              <w:rPr>
                <w:sz w:val="20"/>
              </w:rPr>
              <w:t>.</w:t>
            </w:r>
          </w:p>
        </w:tc>
        <w:tc>
          <w:tcPr>
            <w:tcW w:w="850" w:type="dxa"/>
          </w:tcPr>
          <w:p w:rsidR="002A69DC" w:rsidRPr="002A69DC" w:rsidRDefault="002A69DC" w:rsidP="002A69DC">
            <w:pPr>
              <w:spacing w:before="0" w:after="0" w:line="240" w:lineRule="auto"/>
              <w:ind w:firstLine="0"/>
              <w:rPr>
                <w:sz w:val="20"/>
              </w:rPr>
            </w:pPr>
            <w:r w:rsidRPr="002A69DC">
              <w:rPr>
                <w:sz w:val="20"/>
              </w:rPr>
              <w:t xml:space="preserve">1.38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1.28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1.14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1.00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0.84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0.69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0.54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 xml:space="preserve">2,500 - 5,000 </w:t>
            </w:r>
            <w:proofErr w:type="spellStart"/>
            <w:r w:rsidRPr="002A69DC">
              <w:rPr>
                <w:sz w:val="20"/>
              </w:rPr>
              <w:t>hab</w:t>
            </w:r>
            <w:proofErr w:type="spellEnd"/>
            <w:r w:rsidRPr="002A69DC">
              <w:rPr>
                <w:sz w:val="20"/>
              </w:rPr>
              <w:t>.</w:t>
            </w:r>
          </w:p>
        </w:tc>
        <w:tc>
          <w:tcPr>
            <w:tcW w:w="850" w:type="dxa"/>
          </w:tcPr>
          <w:p w:rsidR="002A69DC" w:rsidRPr="002A69DC" w:rsidRDefault="002A69DC" w:rsidP="002A69DC">
            <w:pPr>
              <w:spacing w:before="0" w:after="0" w:line="240" w:lineRule="auto"/>
              <w:ind w:firstLine="0"/>
              <w:rPr>
                <w:sz w:val="20"/>
              </w:rPr>
            </w:pPr>
            <w:r w:rsidRPr="002A69DC">
              <w:rPr>
                <w:sz w:val="20"/>
              </w:rPr>
              <w:t xml:space="preserve">1.70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1.61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1.42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1.25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1.06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0.89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0.73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 xml:space="preserve">1,000 - 2,500 </w:t>
            </w:r>
            <w:proofErr w:type="spellStart"/>
            <w:r w:rsidRPr="002A69DC">
              <w:rPr>
                <w:sz w:val="20"/>
              </w:rPr>
              <w:t>hab</w:t>
            </w:r>
            <w:proofErr w:type="spellEnd"/>
            <w:r w:rsidRPr="002A69DC">
              <w:rPr>
                <w:sz w:val="20"/>
              </w:rPr>
              <w:t>.</w:t>
            </w:r>
          </w:p>
        </w:tc>
        <w:tc>
          <w:tcPr>
            <w:tcW w:w="850" w:type="dxa"/>
          </w:tcPr>
          <w:p w:rsidR="002A69DC" w:rsidRPr="002A69DC" w:rsidRDefault="002A69DC" w:rsidP="002A69DC">
            <w:pPr>
              <w:spacing w:before="0" w:after="0" w:line="240" w:lineRule="auto"/>
              <w:ind w:firstLine="0"/>
              <w:rPr>
                <w:sz w:val="20"/>
              </w:rPr>
            </w:pPr>
            <w:r w:rsidRPr="002A69DC">
              <w:rPr>
                <w:sz w:val="20"/>
              </w:rPr>
              <w:t xml:space="preserve">0.90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1.28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1.14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0.97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0.82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0.40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0.52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 xml:space="preserve">100 - 1,000 </w:t>
            </w:r>
            <w:proofErr w:type="spellStart"/>
            <w:r w:rsidRPr="002A69DC">
              <w:rPr>
                <w:sz w:val="20"/>
              </w:rPr>
              <w:t>hab</w:t>
            </w:r>
            <w:proofErr w:type="spellEnd"/>
            <w:r w:rsidRPr="002A69DC">
              <w:rPr>
                <w:sz w:val="20"/>
              </w:rPr>
              <w:t>.</w:t>
            </w:r>
          </w:p>
        </w:tc>
        <w:tc>
          <w:tcPr>
            <w:tcW w:w="850" w:type="dxa"/>
          </w:tcPr>
          <w:p w:rsidR="002A69DC" w:rsidRPr="002A69DC" w:rsidRDefault="002A69DC" w:rsidP="002A69DC">
            <w:pPr>
              <w:spacing w:before="0" w:after="0" w:line="240" w:lineRule="auto"/>
              <w:ind w:firstLine="0"/>
              <w:rPr>
                <w:sz w:val="20"/>
              </w:rPr>
            </w:pPr>
            <w:r w:rsidRPr="002A69DC">
              <w:rPr>
                <w:sz w:val="20"/>
              </w:rPr>
              <w:t xml:space="preserve">0.29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1.15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1.01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0.88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0.78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-0.10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0.56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 xml:space="preserve">&lt; 100 </w:t>
            </w:r>
            <w:proofErr w:type="spellStart"/>
            <w:r w:rsidRPr="002A69DC">
              <w:rPr>
                <w:sz w:val="20"/>
              </w:rPr>
              <w:t>hab</w:t>
            </w:r>
            <w:proofErr w:type="spellEnd"/>
            <w:r w:rsidRPr="002A69DC">
              <w:rPr>
                <w:sz w:val="20"/>
              </w:rPr>
              <w:t>.</w:t>
            </w:r>
          </w:p>
        </w:tc>
        <w:tc>
          <w:tcPr>
            <w:tcW w:w="850" w:type="dxa"/>
          </w:tcPr>
          <w:p w:rsidR="002A69DC" w:rsidRPr="002A69DC" w:rsidRDefault="002A69DC" w:rsidP="002A69DC">
            <w:pPr>
              <w:spacing w:before="0" w:after="0" w:line="240" w:lineRule="auto"/>
              <w:ind w:firstLine="0"/>
              <w:rPr>
                <w:sz w:val="20"/>
              </w:rPr>
            </w:pPr>
            <w:r w:rsidRPr="002A69DC">
              <w:rPr>
                <w:sz w:val="20"/>
              </w:rPr>
              <w:t xml:space="preserve">0.13 </w:t>
            </w:r>
          </w:p>
        </w:tc>
        <w:tc>
          <w:tcPr>
            <w:tcW w:w="851" w:type="dxa"/>
          </w:tcPr>
          <w:p w:rsidR="002A69DC" w:rsidRPr="002A69DC" w:rsidRDefault="002A69DC" w:rsidP="002A69DC">
            <w:pPr>
              <w:spacing w:before="0" w:after="0" w:line="240" w:lineRule="auto"/>
              <w:ind w:firstLine="0"/>
              <w:rPr>
                <w:sz w:val="20"/>
              </w:rPr>
            </w:pPr>
            <w:r w:rsidRPr="002A69DC">
              <w:rPr>
                <w:sz w:val="20"/>
              </w:rPr>
              <w:t xml:space="preserve">0.96 </w:t>
            </w:r>
          </w:p>
        </w:tc>
        <w:tc>
          <w:tcPr>
            <w:tcW w:w="939" w:type="dxa"/>
          </w:tcPr>
          <w:p w:rsidR="002A69DC" w:rsidRPr="002A69DC" w:rsidRDefault="002A69DC" w:rsidP="002A69DC">
            <w:pPr>
              <w:spacing w:before="0" w:after="0" w:line="240" w:lineRule="auto"/>
              <w:ind w:firstLine="0"/>
              <w:rPr>
                <w:sz w:val="20"/>
              </w:rPr>
            </w:pPr>
            <w:r w:rsidRPr="002A69DC">
              <w:rPr>
                <w:sz w:val="20"/>
              </w:rPr>
              <w:t xml:space="preserve">0.86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0.68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0.53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0.13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0.33 </w:t>
            </w:r>
          </w:p>
        </w:tc>
      </w:tr>
      <w:tr w:rsidR="002A69DC" w:rsidRPr="002A69DC" w:rsidTr="002A69DC">
        <w:tc>
          <w:tcPr>
            <w:tcW w:w="3227" w:type="dxa"/>
          </w:tcPr>
          <w:p w:rsidR="002A69DC" w:rsidRPr="002A69DC" w:rsidRDefault="002A69DC" w:rsidP="002A69DC">
            <w:pPr>
              <w:spacing w:before="0" w:after="0" w:line="240" w:lineRule="auto"/>
              <w:ind w:firstLine="0"/>
              <w:rPr>
                <w:sz w:val="20"/>
              </w:rPr>
            </w:pPr>
            <w:r w:rsidRPr="002A69DC">
              <w:rPr>
                <w:sz w:val="20"/>
              </w:rPr>
              <w:t>PROMEDIO</w:t>
            </w:r>
          </w:p>
        </w:tc>
        <w:tc>
          <w:tcPr>
            <w:tcW w:w="850" w:type="dxa"/>
          </w:tcPr>
          <w:p w:rsidR="002A69DC" w:rsidRPr="002A69DC" w:rsidRDefault="002A69DC" w:rsidP="002A69DC">
            <w:pPr>
              <w:spacing w:before="0" w:after="0" w:line="240" w:lineRule="auto"/>
              <w:ind w:firstLine="0"/>
              <w:rPr>
                <w:sz w:val="20"/>
              </w:rPr>
            </w:pPr>
            <w:r w:rsidRPr="002A69DC">
              <w:rPr>
                <w:sz w:val="20"/>
              </w:rPr>
              <w:t xml:space="preserve">1.24 </w:t>
            </w:r>
          </w:p>
        </w:tc>
        <w:tc>
          <w:tcPr>
            <w:tcW w:w="851" w:type="dxa"/>
          </w:tcPr>
          <w:p w:rsidR="002A69DC" w:rsidRPr="002A69DC" w:rsidRDefault="002A69DC" w:rsidP="002A69DC">
            <w:pPr>
              <w:spacing w:before="0" w:after="0" w:line="240" w:lineRule="auto"/>
              <w:ind w:firstLine="0"/>
              <w:rPr>
                <w:sz w:val="20"/>
              </w:rPr>
            </w:pPr>
            <w:r w:rsidRPr="002A69DC">
              <w:rPr>
                <w:sz w:val="20"/>
              </w:rPr>
              <w:t xml:space="preserve">1.44 </w:t>
            </w:r>
          </w:p>
        </w:tc>
        <w:tc>
          <w:tcPr>
            <w:tcW w:w="939" w:type="dxa"/>
          </w:tcPr>
          <w:p w:rsidR="002A69DC" w:rsidRPr="002A69DC" w:rsidRDefault="002A69DC" w:rsidP="002A69DC">
            <w:pPr>
              <w:spacing w:before="0" w:after="0" w:line="240" w:lineRule="auto"/>
              <w:ind w:firstLine="0"/>
              <w:rPr>
                <w:sz w:val="20"/>
              </w:rPr>
            </w:pPr>
            <w:r w:rsidRPr="002A69DC">
              <w:rPr>
                <w:sz w:val="20"/>
              </w:rPr>
              <w:t xml:space="preserve">1.27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1.10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0.93 </w:t>
            </w:r>
          </w:p>
        </w:tc>
        <w:tc>
          <w:tcPr>
            <w:tcW w:w="1046" w:type="dxa"/>
          </w:tcPr>
          <w:p w:rsidR="002A69DC" w:rsidRPr="002A69DC" w:rsidRDefault="002A69DC" w:rsidP="002A69DC">
            <w:pPr>
              <w:spacing w:before="0" w:after="0" w:line="240" w:lineRule="auto"/>
              <w:ind w:firstLine="0"/>
              <w:rPr>
                <w:sz w:val="20"/>
              </w:rPr>
            </w:pPr>
            <w:r w:rsidRPr="002A69DC">
              <w:rPr>
                <w:sz w:val="20"/>
              </w:rPr>
              <w:t xml:space="preserve">0.57 </w:t>
            </w:r>
          </w:p>
        </w:tc>
        <w:tc>
          <w:tcPr>
            <w:tcW w:w="1046" w:type="dxa"/>
          </w:tcPr>
          <w:p w:rsidR="002A69DC" w:rsidRPr="002A69DC" w:rsidRDefault="002A69DC" w:rsidP="002A69DC">
            <w:pPr>
              <w:spacing w:before="0" w:after="0" w:line="240" w:lineRule="auto"/>
              <w:ind w:firstLine="0"/>
              <w:rPr>
                <w:sz w:val="20"/>
              </w:rPr>
            </w:pPr>
            <w:r w:rsidRPr="002A69DC">
              <w:rPr>
                <w:sz w:val="20"/>
              </w:rPr>
              <w:t>0.61</w:t>
            </w:r>
          </w:p>
        </w:tc>
      </w:tr>
    </w:tbl>
    <w:p w:rsidR="002A69DC" w:rsidRPr="00AA10EB" w:rsidRDefault="002A69DC" w:rsidP="002A69DC">
      <w:pPr>
        <w:pStyle w:val="Fuente"/>
      </w:pPr>
      <w:r>
        <w:t>FUENTE: INEGI. Censo 2000, conteo 2005. CONAPO. Proyección de la población 2005-2050</w:t>
      </w:r>
    </w:p>
    <w:p w:rsidR="00942FB8" w:rsidRPr="008D005D" w:rsidRDefault="00942FB8" w:rsidP="00942FB8">
      <w:r>
        <w:t xml:space="preserve">En la </w:t>
      </w:r>
      <w:r w:rsidR="00BE2961">
        <w:fldChar w:fldCharType="begin"/>
      </w:r>
      <w:r w:rsidR="00673E7F">
        <w:instrText xml:space="preserve"> REF _Ref259987659 \r \h </w:instrText>
      </w:r>
      <w:r w:rsidR="00BE2961">
        <w:fldChar w:fldCharType="separate"/>
      </w:r>
      <w:r w:rsidR="001C36B4">
        <w:t>Tabla 5.4</w:t>
      </w:r>
      <w:r w:rsidR="00BE2961">
        <w:fldChar w:fldCharType="end"/>
      </w:r>
      <w:r w:rsidR="00673E7F">
        <w:t xml:space="preserve"> </w:t>
      </w:r>
      <w:r>
        <w:t xml:space="preserve">se muestra un resumen, por localidad, de la proyección de población, en donde se aprecia que, en la </w:t>
      </w:r>
      <w:r w:rsidR="000419F4">
        <w:t>área</w:t>
      </w:r>
      <w:r>
        <w:t xml:space="preserve"> de estudio, la población se incrementará en un de </w:t>
      </w:r>
      <w:r w:rsidR="000419F4">
        <w:t>66.2</w:t>
      </w:r>
      <w:r>
        <w:t>% en el periodo 2009-2040, calculándose un aumento de 223,</w:t>
      </w:r>
      <w:r w:rsidR="000419F4">
        <w:t>742</w:t>
      </w:r>
      <w:r>
        <w:t xml:space="preserve"> habitantes.</w:t>
      </w:r>
    </w:p>
    <w:p w:rsidR="00942FB8" w:rsidRDefault="00942FB8" w:rsidP="00942FB8">
      <w:pPr>
        <w:pStyle w:val="Tabla1cap5"/>
      </w:pPr>
      <w:bookmarkStart w:id="30" w:name="_Toc245795530"/>
      <w:bookmarkStart w:id="31" w:name="_Toc259551978"/>
      <w:bookmarkStart w:id="32" w:name="_Toc259787107"/>
      <w:bookmarkStart w:id="33" w:name="_Ref259987659"/>
      <w:r>
        <w:t>Área de estudio. Proyección de la población (habitantes)</w:t>
      </w:r>
      <w:bookmarkEnd w:id="30"/>
      <w:bookmarkEnd w:id="31"/>
      <w:bookmarkEnd w:id="32"/>
      <w:bookmarkEnd w:id="33"/>
    </w:p>
    <w:tbl>
      <w:tblPr>
        <w:tblStyle w:val="Tablabsica1"/>
        <w:tblW w:w="10122" w:type="dxa"/>
        <w:tblLook w:val="04A0"/>
      </w:tblPr>
      <w:tblGrid>
        <w:gridCol w:w="3227"/>
        <w:gridCol w:w="1047"/>
        <w:gridCol w:w="939"/>
        <w:gridCol w:w="1046"/>
        <w:gridCol w:w="939"/>
        <w:gridCol w:w="1046"/>
        <w:gridCol w:w="939"/>
        <w:gridCol w:w="939"/>
      </w:tblGrid>
      <w:tr w:rsidR="000419F4" w:rsidRPr="000419F4" w:rsidTr="00593F70">
        <w:trPr>
          <w:cnfStyle w:val="100000000000"/>
        </w:trPr>
        <w:tc>
          <w:tcPr>
            <w:tcW w:w="3227" w:type="dxa"/>
          </w:tcPr>
          <w:p w:rsidR="000419F4" w:rsidRPr="000419F4" w:rsidRDefault="000419F4" w:rsidP="00593F70">
            <w:pPr>
              <w:spacing w:before="0" w:after="0" w:line="240" w:lineRule="auto"/>
              <w:ind w:firstLine="0"/>
              <w:jc w:val="left"/>
              <w:rPr>
                <w:sz w:val="20"/>
              </w:rPr>
            </w:pPr>
            <w:r w:rsidRPr="000419F4">
              <w:rPr>
                <w:sz w:val="20"/>
              </w:rPr>
              <w:t>Localidad</w:t>
            </w:r>
          </w:p>
        </w:tc>
        <w:tc>
          <w:tcPr>
            <w:tcW w:w="1047" w:type="dxa"/>
          </w:tcPr>
          <w:p w:rsidR="000419F4" w:rsidRPr="000419F4" w:rsidRDefault="000419F4" w:rsidP="00593F70">
            <w:pPr>
              <w:spacing w:before="0" w:after="0" w:line="240" w:lineRule="auto"/>
              <w:ind w:firstLine="0"/>
              <w:jc w:val="center"/>
              <w:rPr>
                <w:sz w:val="20"/>
              </w:rPr>
            </w:pPr>
            <w:r w:rsidRPr="000419F4">
              <w:rPr>
                <w:sz w:val="20"/>
              </w:rPr>
              <w:t>2009</w:t>
            </w:r>
          </w:p>
        </w:tc>
        <w:tc>
          <w:tcPr>
            <w:tcW w:w="939" w:type="dxa"/>
          </w:tcPr>
          <w:p w:rsidR="000419F4" w:rsidRPr="000419F4" w:rsidRDefault="000419F4" w:rsidP="00593F70">
            <w:pPr>
              <w:spacing w:before="0" w:after="0" w:line="240" w:lineRule="auto"/>
              <w:ind w:firstLine="0"/>
              <w:jc w:val="center"/>
              <w:rPr>
                <w:sz w:val="20"/>
              </w:rPr>
            </w:pPr>
            <w:r w:rsidRPr="000419F4">
              <w:rPr>
                <w:sz w:val="20"/>
              </w:rPr>
              <w:t>2012</w:t>
            </w:r>
          </w:p>
        </w:tc>
        <w:tc>
          <w:tcPr>
            <w:tcW w:w="1046" w:type="dxa"/>
          </w:tcPr>
          <w:p w:rsidR="000419F4" w:rsidRPr="000419F4" w:rsidRDefault="000419F4" w:rsidP="00593F70">
            <w:pPr>
              <w:spacing w:before="0" w:after="0" w:line="240" w:lineRule="auto"/>
              <w:ind w:firstLine="0"/>
              <w:jc w:val="center"/>
              <w:rPr>
                <w:sz w:val="20"/>
              </w:rPr>
            </w:pPr>
            <w:r w:rsidRPr="000419F4">
              <w:rPr>
                <w:sz w:val="20"/>
              </w:rPr>
              <w:t>2018</w:t>
            </w:r>
          </w:p>
        </w:tc>
        <w:tc>
          <w:tcPr>
            <w:tcW w:w="939" w:type="dxa"/>
          </w:tcPr>
          <w:p w:rsidR="000419F4" w:rsidRPr="000419F4" w:rsidRDefault="000419F4" w:rsidP="00593F70">
            <w:pPr>
              <w:spacing w:before="0" w:after="0" w:line="240" w:lineRule="auto"/>
              <w:ind w:firstLine="0"/>
              <w:jc w:val="center"/>
              <w:rPr>
                <w:sz w:val="20"/>
              </w:rPr>
            </w:pPr>
            <w:r w:rsidRPr="000419F4">
              <w:rPr>
                <w:sz w:val="20"/>
              </w:rPr>
              <w:t>2024</w:t>
            </w:r>
          </w:p>
        </w:tc>
        <w:tc>
          <w:tcPr>
            <w:tcW w:w="1046" w:type="dxa"/>
          </w:tcPr>
          <w:p w:rsidR="000419F4" w:rsidRPr="000419F4" w:rsidRDefault="000419F4" w:rsidP="00593F70">
            <w:pPr>
              <w:spacing w:before="0" w:after="0" w:line="240" w:lineRule="auto"/>
              <w:ind w:firstLine="0"/>
              <w:jc w:val="center"/>
              <w:rPr>
                <w:sz w:val="20"/>
              </w:rPr>
            </w:pPr>
            <w:r w:rsidRPr="000419F4">
              <w:rPr>
                <w:sz w:val="20"/>
              </w:rPr>
              <w:t>2030</w:t>
            </w:r>
          </w:p>
        </w:tc>
        <w:tc>
          <w:tcPr>
            <w:tcW w:w="939" w:type="dxa"/>
          </w:tcPr>
          <w:p w:rsidR="000419F4" w:rsidRPr="000419F4" w:rsidRDefault="000419F4" w:rsidP="00593F70">
            <w:pPr>
              <w:spacing w:before="0" w:after="0" w:line="240" w:lineRule="auto"/>
              <w:ind w:firstLine="0"/>
              <w:jc w:val="center"/>
              <w:rPr>
                <w:sz w:val="20"/>
              </w:rPr>
            </w:pPr>
            <w:r w:rsidRPr="000419F4">
              <w:rPr>
                <w:sz w:val="20"/>
              </w:rPr>
              <w:t>2035</w:t>
            </w:r>
          </w:p>
        </w:tc>
        <w:tc>
          <w:tcPr>
            <w:tcW w:w="939" w:type="dxa"/>
          </w:tcPr>
          <w:p w:rsidR="000419F4" w:rsidRPr="000419F4" w:rsidRDefault="000419F4" w:rsidP="00593F70">
            <w:pPr>
              <w:spacing w:before="0" w:after="0" w:line="240" w:lineRule="auto"/>
              <w:ind w:firstLine="0"/>
              <w:jc w:val="center"/>
              <w:rPr>
                <w:sz w:val="20"/>
              </w:rPr>
            </w:pPr>
            <w:r w:rsidRPr="000419F4">
              <w:rPr>
                <w:sz w:val="20"/>
              </w:rPr>
              <w:t>2040</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Ciudad Serdán</w:t>
            </w:r>
          </w:p>
        </w:tc>
        <w:tc>
          <w:tcPr>
            <w:tcW w:w="1047" w:type="dxa"/>
          </w:tcPr>
          <w:p w:rsidR="000419F4" w:rsidRPr="000419F4" w:rsidRDefault="000419F4" w:rsidP="00593F70">
            <w:pPr>
              <w:spacing w:before="0" w:after="0" w:line="240" w:lineRule="auto"/>
              <w:ind w:firstLine="0"/>
              <w:jc w:val="right"/>
              <w:rPr>
                <w:sz w:val="20"/>
              </w:rPr>
            </w:pPr>
            <w:r w:rsidRPr="000419F4">
              <w:rPr>
                <w:sz w:val="20"/>
              </w:rPr>
              <w:t>22,649</w:t>
            </w:r>
          </w:p>
        </w:tc>
        <w:tc>
          <w:tcPr>
            <w:tcW w:w="939" w:type="dxa"/>
          </w:tcPr>
          <w:p w:rsidR="000419F4" w:rsidRPr="000419F4" w:rsidRDefault="000419F4" w:rsidP="00593F70">
            <w:pPr>
              <w:spacing w:before="0" w:after="0" w:line="240" w:lineRule="auto"/>
              <w:ind w:firstLine="0"/>
              <w:jc w:val="right"/>
              <w:rPr>
                <w:sz w:val="20"/>
              </w:rPr>
            </w:pPr>
            <w:r w:rsidRPr="000419F4">
              <w:rPr>
                <w:sz w:val="20"/>
              </w:rPr>
              <w:t>22,762</w:t>
            </w:r>
          </w:p>
        </w:tc>
        <w:tc>
          <w:tcPr>
            <w:tcW w:w="1046" w:type="dxa"/>
          </w:tcPr>
          <w:p w:rsidR="000419F4" w:rsidRPr="000419F4" w:rsidRDefault="000419F4" w:rsidP="00593F70">
            <w:pPr>
              <w:spacing w:before="0" w:after="0" w:line="240" w:lineRule="auto"/>
              <w:ind w:firstLine="0"/>
              <w:jc w:val="right"/>
              <w:rPr>
                <w:sz w:val="20"/>
              </w:rPr>
            </w:pPr>
            <w:r w:rsidRPr="000419F4">
              <w:rPr>
                <w:sz w:val="20"/>
              </w:rPr>
              <w:t>22,787</w:t>
            </w:r>
          </w:p>
        </w:tc>
        <w:tc>
          <w:tcPr>
            <w:tcW w:w="939" w:type="dxa"/>
          </w:tcPr>
          <w:p w:rsidR="000419F4" w:rsidRPr="000419F4" w:rsidRDefault="000419F4" w:rsidP="00593F70">
            <w:pPr>
              <w:spacing w:before="0" w:after="0" w:line="240" w:lineRule="auto"/>
              <w:ind w:firstLine="0"/>
              <w:jc w:val="right"/>
              <w:rPr>
                <w:sz w:val="20"/>
              </w:rPr>
            </w:pPr>
            <w:r w:rsidRPr="000419F4">
              <w:rPr>
                <w:sz w:val="20"/>
              </w:rPr>
              <w:t>22,572</w:t>
            </w:r>
          </w:p>
        </w:tc>
        <w:tc>
          <w:tcPr>
            <w:tcW w:w="1046" w:type="dxa"/>
          </w:tcPr>
          <w:p w:rsidR="000419F4" w:rsidRPr="000419F4" w:rsidRDefault="000419F4" w:rsidP="00593F70">
            <w:pPr>
              <w:spacing w:before="0" w:after="0" w:line="240" w:lineRule="auto"/>
              <w:ind w:firstLine="0"/>
              <w:jc w:val="right"/>
              <w:rPr>
                <w:sz w:val="20"/>
              </w:rPr>
            </w:pPr>
            <w:r w:rsidRPr="000419F4">
              <w:rPr>
                <w:sz w:val="20"/>
              </w:rPr>
              <w:t>22,116</w:t>
            </w:r>
          </w:p>
        </w:tc>
        <w:tc>
          <w:tcPr>
            <w:tcW w:w="939" w:type="dxa"/>
          </w:tcPr>
          <w:p w:rsidR="000419F4" w:rsidRPr="000419F4" w:rsidRDefault="000419F4" w:rsidP="00593F70">
            <w:pPr>
              <w:spacing w:before="0" w:after="0" w:line="240" w:lineRule="auto"/>
              <w:ind w:firstLine="0"/>
              <w:jc w:val="right"/>
              <w:rPr>
                <w:sz w:val="20"/>
              </w:rPr>
            </w:pPr>
            <w:r w:rsidRPr="000419F4">
              <w:rPr>
                <w:sz w:val="20"/>
              </w:rPr>
              <w:t>21,560</w:t>
            </w:r>
          </w:p>
        </w:tc>
        <w:tc>
          <w:tcPr>
            <w:tcW w:w="939" w:type="dxa"/>
          </w:tcPr>
          <w:p w:rsidR="000419F4" w:rsidRPr="000419F4" w:rsidRDefault="000419F4" w:rsidP="00593F70">
            <w:pPr>
              <w:spacing w:before="0" w:after="0" w:line="240" w:lineRule="auto"/>
              <w:ind w:firstLine="0"/>
              <w:jc w:val="right"/>
              <w:rPr>
                <w:sz w:val="20"/>
              </w:rPr>
            </w:pPr>
            <w:r w:rsidRPr="000419F4">
              <w:rPr>
                <w:sz w:val="20"/>
              </w:rPr>
              <w:t>20,856</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Ciudad de Libres</w:t>
            </w:r>
          </w:p>
        </w:tc>
        <w:tc>
          <w:tcPr>
            <w:tcW w:w="1047" w:type="dxa"/>
          </w:tcPr>
          <w:p w:rsidR="000419F4" w:rsidRPr="000419F4" w:rsidRDefault="000419F4" w:rsidP="00593F70">
            <w:pPr>
              <w:spacing w:before="0" w:after="0" w:line="240" w:lineRule="auto"/>
              <w:ind w:firstLine="0"/>
              <w:jc w:val="right"/>
              <w:rPr>
                <w:sz w:val="20"/>
              </w:rPr>
            </w:pPr>
            <w:r w:rsidRPr="000419F4">
              <w:rPr>
                <w:sz w:val="20"/>
              </w:rPr>
              <w:t>15,032</w:t>
            </w:r>
          </w:p>
        </w:tc>
        <w:tc>
          <w:tcPr>
            <w:tcW w:w="939" w:type="dxa"/>
          </w:tcPr>
          <w:p w:rsidR="000419F4" w:rsidRPr="000419F4" w:rsidRDefault="000419F4" w:rsidP="00593F70">
            <w:pPr>
              <w:spacing w:before="0" w:after="0" w:line="240" w:lineRule="auto"/>
              <w:ind w:firstLine="0"/>
              <w:jc w:val="right"/>
              <w:rPr>
                <w:sz w:val="20"/>
              </w:rPr>
            </w:pPr>
            <w:r w:rsidRPr="000419F4">
              <w:rPr>
                <w:sz w:val="20"/>
              </w:rPr>
              <w:t>15,597</w:t>
            </w:r>
          </w:p>
        </w:tc>
        <w:tc>
          <w:tcPr>
            <w:tcW w:w="1046" w:type="dxa"/>
          </w:tcPr>
          <w:p w:rsidR="000419F4" w:rsidRPr="000419F4" w:rsidRDefault="000419F4" w:rsidP="00593F70">
            <w:pPr>
              <w:spacing w:before="0" w:after="0" w:line="240" w:lineRule="auto"/>
              <w:ind w:firstLine="0"/>
              <w:jc w:val="right"/>
              <w:rPr>
                <w:sz w:val="20"/>
              </w:rPr>
            </w:pPr>
            <w:r w:rsidRPr="000419F4">
              <w:rPr>
                <w:sz w:val="20"/>
              </w:rPr>
              <w:t>16,543</w:t>
            </w:r>
          </w:p>
        </w:tc>
        <w:tc>
          <w:tcPr>
            <w:tcW w:w="939" w:type="dxa"/>
          </w:tcPr>
          <w:p w:rsidR="000419F4" w:rsidRPr="000419F4" w:rsidRDefault="000419F4" w:rsidP="00593F70">
            <w:pPr>
              <w:spacing w:before="0" w:after="0" w:line="240" w:lineRule="auto"/>
              <w:ind w:firstLine="0"/>
              <w:jc w:val="right"/>
              <w:rPr>
                <w:sz w:val="20"/>
              </w:rPr>
            </w:pPr>
            <w:r w:rsidRPr="000419F4">
              <w:rPr>
                <w:sz w:val="20"/>
              </w:rPr>
              <w:t>17,272</w:t>
            </w:r>
          </w:p>
        </w:tc>
        <w:tc>
          <w:tcPr>
            <w:tcW w:w="1046" w:type="dxa"/>
          </w:tcPr>
          <w:p w:rsidR="000419F4" w:rsidRPr="000419F4" w:rsidRDefault="000419F4" w:rsidP="00593F70">
            <w:pPr>
              <w:spacing w:before="0" w:after="0" w:line="240" w:lineRule="auto"/>
              <w:ind w:firstLine="0"/>
              <w:jc w:val="right"/>
              <w:rPr>
                <w:sz w:val="20"/>
              </w:rPr>
            </w:pPr>
            <w:r w:rsidRPr="000419F4">
              <w:rPr>
                <w:sz w:val="20"/>
              </w:rPr>
              <w:t>17,759</w:t>
            </w:r>
          </w:p>
        </w:tc>
        <w:tc>
          <w:tcPr>
            <w:tcW w:w="939" w:type="dxa"/>
          </w:tcPr>
          <w:p w:rsidR="000419F4" w:rsidRPr="000419F4" w:rsidRDefault="000419F4" w:rsidP="00593F70">
            <w:pPr>
              <w:spacing w:before="0" w:after="0" w:line="240" w:lineRule="auto"/>
              <w:ind w:firstLine="0"/>
              <w:jc w:val="right"/>
              <w:rPr>
                <w:sz w:val="20"/>
              </w:rPr>
            </w:pPr>
            <w:r w:rsidRPr="000419F4">
              <w:rPr>
                <w:sz w:val="20"/>
              </w:rPr>
              <w:t>17,961</w:t>
            </w:r>
          </w:p>
        </w:tc>
        <w:tc>
          <w:tcPr>
            <w:tcW w:w="939" w:type="dxa"/>
          </w:tcPr>
          <w:p w:rsidR="000419F4" w:rsidRPr="000419F4" w:rsidRDefault="000419F4" w:rsidP="00593F70">
            <w:pPr>
              <w:spacing w:before="0" w:after="0" w:line="240" w:lineRule="auto"/>
              <w:ind w:firstLine="0"/>
              <w:jc w:val="right"/>
              <w:rPr>
                <w:sz w:val="20"/>
              </w:rPr>
            </w:pPr>
            <w:r w:rsidRPr="000419F4">
              <w:rPr>
                <w:sz w:val="20"/>
              </w:rPr>
              <w:t>17,971</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San Salvador el Seco</w:t>
            </w:r>
          </w:p>
        </w:tc>
        <w:tc>
          <w:tcPr>
            <w:tcW w:w="1047" w:type="dxa"/>
          </w:tcPr>
          <w:p w:rsidR="000419F4" w:rsidRPr="000419F4" w:rsidRDefault="000419F4" w:rsidP="00593F70">
            <w:pPr>
              <w:spacing w:before="0" w:after="0" w:line="240" w:lineRule="auto"/>
              <w:ind w:firstLine="0"/>
              <w:jc w:val="right"/>
              <w:rPr>
                <w:sz w:val="20"/>
              </w:rPr>
            </w:pPr>
            <w:r w:rsidRPr="000419F4">
              <w:rPr>
                <w:sz w:val="20"/>
              </w:rPr>
              <w:t>17,082</w:t>
            </w:r>
          </w:p>
        </w:tc>
        <w:tc>
          <w:tcPr>
            <w:tcW w:w="939" w:type="dxa"/>
          </w:tcPr>
          <w:p w:rsidR="000419F4" w:rsidRPr="000419F4" w:rsidRDefault="000419F4" w:rsidP="00593F70">
            <w:pPr>
              <w:spacing w:before="0" w:after="0" w:line="240" w:lineRule="auto"/>
              <w:ind w:firstLine="0"/>
              <w:jc w:val="right"/>
              <w:rPr>
                <w:sz w:val="20"/>
              </w:rPr>
            </w:pPr>
            <w:r w:rsidRPr="000419F4">
              <w:rPr>
                <w:sz w:val="20"/>
              </w:rPr>
              <w:t>17,846</w:t>
            </w:r>
          </w:p>
        </w:tc>
        <w:tc>
          <w:tcPr>
            <w:tcW w:w="1046" w:type="dxa"/>
          </w:tcPr>
          <w:p w:rsidR="000419F4" w:rsidRPr="000419F4" w:rsidRDefault="000419F4" w:rsidP="00593F70">
            <w:pPr>
              <w:spacing w:before="0" w:after="0" w:line="240" w:lineRule="auto"/>
              <w:ind w:firstLine="0"/>
              <w:jc w:val="right"/>
              <w:rPr>
                <w:sz w:val="20"/>
              </w:rPr>
            </w:pPr>
            <w:r w:rsidRPr="000419F4">
              <w:rPr>
                <w:sz w:val="20"/>
              </w:rPr>
              <w:t>19,264</w:t>
            </w:r>
          </w:p>
        </w:tc>
        <w:tc>
          <w:tcPr>
            <w:tcW w:w="939" w:type="dxa"/>
          </w:tcPr>
          <w:p w:rsidR="000419F4" w:rsidRPr="000419F4" w:rsidRDefault="000419F4" w:rsidP="00593F70">
            <w:pPr>
              <w:spacing w:before="0" w:after="0" w:line="240" w:lineRule="auto"/>
              <w:ind w:firstLine="0"/>
              <w:jc w:val="right"/>
              <w:rPr>
                <w:sz w:val="20"/>
              </w:rPr>
            </w:pPr>
            <w:r w:rsidRPr="000419F4">
              <w:rPr>
                <w:sz w:val="20"/>
              </w:rPr>
              <w:t>20,537</w:t>
            </w:r>
          </w:p>
        </w:tc>
        <w:tc>
          <w:tcPr>
            <w:tcW w:w="1046" w:type="dxa"/>
          </w:tcPr>
          <w:p w:rsidR="000419F4" w:rsidRPr="000419F4" w:rsidRDefault="000419F4" w:rsidP="00593F70">
            <w:pPr>
              <w:spacing w:before="0" w:after="0" w:line="240" w:lineRule="auto"/>
              <w:ind w:firstLine="0"/>
              <w:jc w:val="right"/>
              <w:rPr>
                <w:sz w:val="20"/>
              </w:rPr>
            </w:pPr>
            <w:r w:rsidRPr="000419F4">
              <w:rPr>
                <w:sz w:val="20"/>
              </w:rPr>
              <w:t>21,617</w:t>
            </w:r>
          </w:p>
        </w:tc>
        <w:tc>
          <w:tcPr>
            <w:tcW w:w="939" w:type="dxa"/>
          </w:tcPr>
          <w:p w:rsidR="000419F4" w:rsidRPr="000419F4" w:rsidRDefault="000419F4" w:rsidP="00593F70">
            <w:pPr>
              <w:spacing w:before="0" w:after="0" w:line="240" w:lineRule="auto"/>
              <w:ind w:firstLine="0"/>
              <w:jc w:val="right"/>
              <w:rPr>
                <w:sz w:val="20"/>
              </w:rPr>
            </w:pPr>
            <w:r w:rsidRPr="000419F4">
              <w:rPr>
                <w:sz w:val="20"/>
              </w:rPr>
              <w:t>22,340</w:t>
            </w:r>
          </w:p>
        </w:tc>
        <w:tc>
          <w:tcPr>
            <w:tcW w:w="939" w:type="dxa"/>
          </w:tcPr>
          <w:p w:rsidR="000419F4" w:rsidRPr="000419F4" w:rsidRDefault="000419F4" w:rsidP="00593F70">
            <w:pPr>
              <w:spacing w:before="0" w:after="0" w:line="240" w:lineRule="auto"/>
              <w:ind w:firstLine="0"/>
              <w:jc w:val="right"/>
              <w:rPr>
                <w:sz w:val="20"/>
              </w:rPr>
            </w:pPr>
            <w:r w:rsidRPr="000419F4">
              <w:rPr>
                <w:sz w:val="20"/>
              </w:rPr>
              <w:t>22,882</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Huamantla</w:t>
            </w:r>
          </w:p>
        </w:tc>
        <w:tc>
          <w:tcPr>
            <w:tcW w:w="1047" w:type="dxa"/>
          </w:tcPr>
          <w:p w:rsidR="000419F4" w:rsidRPr="000419F4" w:rsidRDefault="000419F4" w:rsidP="00593F70">
            <w:pPr>
              <w:spacing w:before="0" w:after="0" w:line="240" w:lineRule="auto"/>
              <w:ind w:firstLine="0"/>
              <w:jc w:val="right"/>
              <w:rPr>
                <w:sz w:val="20"/>
              </w:rPr>
            </w:pPr>
            <w:r w:rsidRPr="000419F4">
              <w:rPr>
                <w:sz w:val="20"/>
              </w:rPr>
              <w:t>52,108</w:t>
            </w:r>
          </w:p>
        </w:tc>
        <w:tc>
          <w:tcPr>
            <w:tcW w:w="939" w:type="dxa"/>
          </w:tcPr>
          <w:p w:rsidR="000419F4" w:rsidRPr="000419F4" w:rsidRDefault="000419F4" w:rsidP="00593F70">
            <w:pPr>
              <w:spacing w:before="0" w:after="0" w:line="240" w:lineRule="auto"/>
              <w:ind w:firstLine="0"/>
              <w:jc w:val="right"/>
              <w:rPr>
                <w:sz w:val="20"/>
              </w:rPr>
            </w:pPr>
            <w:r w:rsidRPr="000419F4">
              <w:rPr>
                <w:sz w:val="20"/>
              </w:rPr>
              <w:t>55,818</w:t>
            </w:r>
          </w:p>
        </w:tc>
        <w:tc>
          <w:tcPr>
            <w:tcW w:w="1046" w:type="dxa"/>
          </w:tcPr>
          <w:p w:rsidR="000419F4" w:rsidRPr="000419F4" w:rsidRDefault="000419F4" w:rsidP="00593F70">
            <w:pPr>
              <w:spacing w:before="0" w:after="0" w:line="240" w:lineRule="auto"/>
              <w:ind w:firstLine="0"/>
              <w:jc w:val="right"/>
              <w:rPr>
                <w:sz w:val="20"/>
              </w:rPr>
            </w:pPr>
            <w:r w:rsidRPr="000419F4">
              <w:rPr>
                <w:sz w:val="20"/>
              </w:rPr>
              <w:t>63,288</w:t>
            </w:r>
          </w:p>
        </w:tc>
        <w:tc>
          <w:tcPr>
            <w:tcW w:w="939" w:type="dxa"/>
          </w:tcPr>
          <w:p w:rsidR="000419F4" w:rsidRPr="000419F4" w:rsidRDefault="000419F4" w:rsidP="00593F70">
            <w:pPr>
              <w:spacing w:before="0" w:after="0" w:line="240" w:lineRule="auto"/>
              <w:ind w:firstLine="0"/>
              <w:jc w:val="right"/>
              <w:rPr>
                <w:sz w:val="20"/>
              </w:rPr>
            </w:pPr>
            <w:r w:rsidRPr="000419F4">
              <w:rPr>
                <w:sz w:val="20"/>
              </w:rPr>
              <w:t>70,796</w:t>
            </w:r>
          </w:p>
        </w:tc>
        <w:tc>
          <w:tcPr>
            <w:tcW w:w="1046" w:type="dxa"/>
          </w:tcPr>
          <w:p w:rsidR="000419F4" w:rsidRPr="000419F4" w:rsidRDefault="000419F4" w:rsidP="00593F70">
            <w:pPr>
              <w:spacing w:before="0" w:after="0" w:line="240" w:lineRule="auto"/>
              <w:ind w:firstLine="0"/>
              <w:jc w:val="right"/>
              <w:rPr>
                <w:sz w:val="20"/>
              </w:rPr>
            </w:pPr>
            <w:r w:rsidRPr="000419F4">
              <w:rPr>
                <w:sz w:val="20"/>
              </w:rPr>
              <w:t>78,131</w:t>
            </w:r>
          </w:p>
        </w:tc>
        <w:tc>
          <w:tcPr>
            <w:tcW w:w="939" w:type="dxa"/>
          </w:tcPr>
          <w:p w:rsidR="000419F4" w:rsidRPr="000419F4" w:rsidRDefault="000419F4" w:rsidP="00593F70">
            <w:pPr>
              <w:spacing w:before="0" w:after="0" w:line="240" w:lineRule="auto"/>
              <w:ind w:firstLine="0"/>
              <w:jc w:val="right"/>
              <w:rPr>
                <w:sz w:val="20"/>
              </w:rPr>
            </w:pPr>
            <w:r w:rsidRPr="000419F4">
              <w:rPr>
                <w:sz w:val="20"/>
              </w:rPr>
              <w:t>83,937</w:t>
            </w:r>
          </w:p>
        </w:tc>
        <w:tc>
          <w:tcPr>
            <w:tcW w:w="939" w:type="dxa"/>
          </w:tcPr>
          <w:p w:rsidR="000419F4" w:rsidRPr="000419F4" w:rsidRDefault="000419F4" w:rsidP="00593F70">
            <w:pPr>
              <w:spacing w:before="0" w:after="0" w:line="240" w:lineRule="auto"/>
              <w:ind w:firstLine="0"/>
              <w:jc w:val="right"/>
              <w:rPr>
                <w:sz w:val="20"/>
              </w:rPr>
            </w:pPr>
            <w:r w:rsidRPr="000419F4">
              <w:rPr>
                <w:sz w:val="20"/>
              </w:rPr>
              <w:t>89,322</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 xml:space="preserve">Villa de El Carmen </w:t>
            </w:r>
            <w:proofErr w:type="spellStart"/>
            <w:r w:rsidRPr="000419F4">
              <w:rPr>
                <w:sz w:val="20"/>
              </w:rPr>
              <w:t>Tequexquitla</w:t>
            </w:r>
            <w:proofErr w:type="spellEnd"/>
          </w:p>
        </w:tc>
        <w:tc>
          <w:tcPr>
            <w:tcW w:w="1047" w:type="dxa"/>
          </w:tcPr>
          <w:p w:rsidR="000419F4" w:rsidRPr="000419F4" w:rsidRDefault="000419F4" w:rsidP="00593F70">
            <w:pPr>
              <w:spacing w:before="0" w:after="0" w:line="240" w:lineRule="auto"/>
              <w:ind w:firstLine="0"/>
              <w:jc w:val="right"/>
              <w:rPr>
                <w:sz w:val="20"/>
              </w:rPr>
            </w:pPr>
            <w:r w:rsidRPr="000419F4">
              <w:rPr>
                <w:sz w:val="20"/>
              </w:rPr>
              <w:t>14,035</w:t>
            </w:r>
          </w:p>
        </w:tc>
        <w:tc>
          <w:tcPr>
            <w:tcW w:w="939" w:type="dxa"/>
          </w:tcPr>
          <w:p w:rsidR="000419F4" w:rsidRPr="000419F4" w:rsidRDefault="000419F4" w:rsidP="00593F70">
            <w:pPr>
              <w:spacing w:before="0" w:after="0" w:line="240" w:lineRule="auto"/>
              <w:ind w:firstLine="0"/>
              <w:jc w:val="right"/>
              <w:rPr>
                <w:sz w:val="20"/>
              </w:rPr>
            </w:pPr>
            <w:r w:rsidRPr="000419F4">
              <w:rPr>
                <w:sz w:val="20"/>
              </w:rPr>
              <w:t>14,857</w:t>
            </w:r>
          </w:p>
        </w:tc>
        <w:tc>
          <w:tcPr>
            <w:tcW w:w="1046" w:type="dxa"/>
          </w:tcPr>
          <w:p w:rsidR="000419F4" w:rsidRPr="000419F4" w:rsidRDefault="000419F4" w:rsidP="00593F70">
            <w:pPr>
              <w:spacing w:before="0" w:after="0" w:line="240" w:lineRule="auto"/>
              <w:ind w:firstLine="0"/>
              <w:jc w:val="right"/>
              <w:rPr>
                <w:sz w:val="20"/>
              </w:rPr>
            </w:pPr>
            <w:r w:rsidRPr="000419F4">
              <w:rPr>
                <w:sz w:val="20"/>
              </w:rPr>
              <w:t>16,490</w:t>
            </w:r>
          </w:p>
        </w:tc>
        <w:tc>
          <w:tcPr>
            <w:tcW w:w="939" w:type="dxa"/>
          </w:tcPr>
          <w:p w:rsidR="000419F4" w:rsidRPr="000419F4" w:rsidRDefault="000419F4" w:rsidP="00593F70">
            <w:pPr>
              <w:spacing w:before="0" w:after="0" w:line="240" w:lineRule="auto"/>
              <w:ind w:firstLine="0"/>
              <w:jc w:val="right"/>
              <w:rPr>
                <w:sz w:val="20"/>
              </w:rPr>
            </w:pPr>
            <w:r w:rsidRPr="000419F4">
              <w:rPr>
                <w:sz w:val="20"/>
              </w:rPr>
              <w:t>18,108</w:t>
            </w:r>
          </w:p>
        </w:tc>
        <w:tc>
          <w:tcPr>
            <w:tcW w:w="1046" w:type="dxa"/>
          </w:tcPr>
          <w:p w:rsidR="000419F4" w:rsidRPr="000419F4" w:rsidRDefault="000419F4" w:rsidP="00593F70">
            <w:pPr>
              <w:spacing w:before="0" w:after="0" w:line="240" w:lineRule="auto"/>
              <w:ind w:firstLine="0"/>
              <w:jc w:val="right"/>
              <w:rPr>
                <w:sz w:val="20"/>
              </w:rPr>
            </w:pPr>
            <w:r w:rsidRPr="000419F4">
              <w:rPr>
                <w:sz w:val="20"/>
              </w:rPr>
              <w:t>19,659</w:t>
            </w:r>
          </w:p>
        </w:tc>
        <w:tc>
          <w:tcPr>
            <w:tcW w:w="939" w:type="dxa"/>
          </w:tcPr>
          <w:p w:rsidR="000419F4" w:rsidRPr="000419F4" w:rsidRDefault="000419F4" w:rsidP="00593F70">
            <w:pPr>
              <w:spacing w:before="0" w:after="0" w:line="240" w:lineRule="auto"/>
              <w:ind w:firstLine="0"/>
              <w:jc w:val="right"/>
              <w:rPr>
                <w:sz w:val="20"/>
              </w:rPr>
            </w:pPr>
            <w:r w:rsidRPr="000419F4">
              <w:rPr>
                <w:sz w:val="20"/>
              </w:rPr>
              <w:t>20,867</w:t>
            </w:r>
          </w:p>
        </w:tc>
        <w:tc>
          <w:tcPr>
            <w:tcW w:w="939" w:type="dxa"/>
          </w:tcPr>
          <w:p w:rsidR="000419F4" w:rsidRPr="000419F4" w:rsidRDefault="000419F4" w:rsidP="00593F70">
            <w:pPr>
              <w:spacing w:before="0" w:after="0" w:line="240" w:lineRule="auto"/>
              <w:ind w:firstLine="0"/>
              <w:jc w:val="right"/>
              <w:rPr>
                <w:sz w:val="20"/>
              </w:rPr>
            </w:pPr>
            <w:r w:rsidRPr="000419F4">
              <w:rPr>
                <w:sz w:val="20"/>
              </w:rPr>
              <w:t>21,973</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Perote</w:t>
            </w:r>
          </w:p>
        </w:tc>
        <w:tc>
          <w:tcPr>
            <w:tcW w:w="1047" w:type="dxa"/>
          </w:tcPr>
          <w:p w:rsidR="000419F4" w:rsidRPr="000419F4" w:rsidRDefault="000419F4" w:rsidP="00593F70">
            <w:pPr>
              <w:spacing w:before="0" w:after="0" w:line="240" w:lineRule="auto"/>
              <w:ind w:firstLine="0"/>
              <w:jc w:val="right"/>
              <w:rPr>
                <w:sz w:val="20"/>
              </w:rPr>
            </w:pPr>
            <w:r w:rsidRPr="000419F4">
              <w:rPr>
                <w:sz w:val="20"/>
              </w:rPr>
              <w:t>38,380</w:t>
            </w:r>
          </w:p>
        </w:tc>
        <w:tc>
          <w:tcPr>
            <w:tcW w:w="939" w:type="dxa"/>
          </w:tcPr>
          <w:p w:rsidR="000419F4" w:rsidRPr="000419F4" w:rsidRDefault="000419F4" w:rsidP="00593F70">
            <w:pPr>
              <w:spacing w:before="0" w:after="0" w:line="240" w:lineRule="auto"/>
              <w:ind w:firstLine="0"/>
              <w:jc w:val="right"/>
              <w:rPr>
                <w:sz w:val="20"/>
              </w:rPr>
            </w:pPr>
            <w:r w:rsidRPr="000419F4">
              <w:rPr>
                <w:sz w:val="20"/>
              </w:rPr>
              <w:t>41,093</w:t>
            </w:r>
          </w:p>
        </w:tc>
        <w:tc>
          <w:tcPr>
            <w:tcW w:w="1046" w:type="dxa"/>
          </w:tcPr>
          <w:p w:rsidR="000419F4" w:rsidRPr="000419F4" w:rsidRDefault="000419F4" w:rsidP="00593F70">
            <w:pPr>
              <w:spacing w:before="0" w:after="0" w:line="240" w:lineRule="auto"/>
              <w:ind w:firstLine="0"/>
              <w:jc w:val="right"/>
              <w:rPr>
                <w:sz w:val="20"/>
              </w:rPr>
            </w:pPr>
            <w:r w:rsidRPr="000419F4">
              <w:rPr>
                <w:sz w:val="20"/>
              </w:rPr>
              <w:t>46,330</w:t>
            </w:r>
          </w:p>
        </w:tc>
        <w:tc>
          <w:tcPr>
            <w:tcW w:w="939" w:type="dxa"/>
          </w:tcPr>
          <w:p w:rsidR="000419F4" w:rsidRPr="000419F4" w:rsidRDefault="000419F4" w:rsidP="00593F70">
            <w:pPr>
              <w:spacing w:before="0" w:after="0" w:line="240" w:lineRule="auto"/>
              <w:ind w:firstLine="0"/>
              <w:jc w:val="right"/>
              <w:rPr>
                <w:sz w:val="20"/>
              </w:rPr>
            </w:pPr>
            <w:r w:rsidRPr="000419F4">
              <w:rPr>
                <w:sz w:val="20"/>
              </w:rPr>
              <w:t>51,260</w:t>
            </w:r>
          </w:p>
        </w:tc>
        <w:tc>
          <w:tcPr>
            <w:tcW w:w="1046" w:type="dxa"/>
          </w:tcPr>
          <w:p w:rsidR="000419F4" w:rsidRPr="000419F4" w:rsidRDefault="000419F4" w:rsidP="00593F70">
            <w:pPr>
              <w:spacing w:before="0" w:after="0" w:line="240" w:lineRule="auto"/>
              <w:ind w:firstLine="0"/>
              <w:jc w:val="right"/>
              <w:rPr>
                <w:sz w:val="20"/>
              </w:rPr>
            </w:pPr>
            <w:r w:rsidRPr="000419F4">
              <w:rPr>
                <w:sz w:val="20"/>
              </w:rPr>
              <w:t>55,653</w:t>
            </w:r>
          </w:p>
        </w:tc>
        <w:tc>
          <w:tcPr>
            <w:tcW w:w="939" w:type="dxa"/>
          </w:tcPr>
          <w:p w:rsidR="000419F4" w:rsidRPr="000419F4" w:rsidRDefault="000419F4" w:rsidP="00593F70">
            <w:pPr>
              <w:spacing w:before="0" w:after="0" w:line="240" w:lineRule="auto"/>
              <w:ind w:firstLine="0"/>
              <w:jc w:val="right"/>
              <w:rPr>
                <w:sz w:val="20"/>
              </w:rPr>
            </w:pPr>
            <w:r w:rsidRPr="000419F4">
              <w:rPr>
                <w:sz w:val="20"/>
              </w:rPr>
              <w:t>58,746</w:t>
            </w:r>
          </w:p>
        </w:tc>
        <w:tc>
          <w:tcPr>
            <w:tcW w:w="939" w:type="dxa"/>
          </w:tcPr>
          <w:p w:rsidR="000419F4" w:rsidRPr="000419F4" w:rsidRDefault="000419F4" w:rsidP="00593F70">
            <w:pPr>
              <w:spacing w:before="0" w:after="0" w:line="240" w:lineRule="auto"/>
              <w:ind w:firstLine="0"/>
              <w:jc w:val="right"/>
              <w:rPr>
                <w:sz w:val="20"/>
              </w:rPr>
            </w:pPr>
            <w:r w:rsidRPr="000419F4">
              <w:rPr>
                <w:sz w:val="20"/>
              </w:rPr>
              <w:t>61,200</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proofErr w:type="spellStart"/>
            <w:r w:rsidRPr="000419F4">
              <w:rPr>
                <w:sz w:val="20"/>
              </w:rPr>
              <w:t>Altotonga</w:t>
            </w:r>
            <w:proofErr w:type="spellEnd"/>
          </w:p>
        </w:tc>
        <w:tc>
          <w:tcPr>
            <w:tcW w:w="1047" w:type="dxa"/>
          </w:tcPr>
          <w:p w:rsidR="000419F4" w:rsidRPr="000419F4" w:rsidRDefault="000419F4" w:rsidP="00593F70">
            <w:pPr>
              <w:spacing w:before="0" w:after="0" w:line="240" w:lineRule="auto"/>
              <w:ind w:firstLine="0"/>
              <w:jc w:val="right"/>
              <w:rPr>
                <w:sz w:val="20"/>
              </w:rPr>
            </w:pPr>
            <w:r w:rsidRPr="000419F4">
              <w:rPr>
                <w:sz w:val="20"/>
              </w:rPr>
              <w:t>19,527</w:t>
            </w:r>
          </w:p>
        </w:tc>
        <w:tc>
          <w:tcPr>
            <w:tcW w:w="939" w:type="dxa"/>
          </w:tcPr>
          <w:p w:rsidR="000419F4" w:rsidRPr="000419F4" w:rsidRDefault="000419F4" w:rsidP="00593F70">
            <w:pPr>
              <w:spacing w:before="0" w:after="0" w:line="240" w:lineRule="auto"/>
              <w:ind w:firstLine="0"/>
              <w:jc w:val="right"/>
              <w:rPr>
                <w:sz w:val="20"/>
              </w:rPr>
            </w:pPr>
            <w:r w:rsidRPr="000419F4">
              <w:rPr>
                <w:sz w:val="20"/>
              </w:rPr>
              <w:t>20,544</w:t>
            </w:r>
          </w:p>
        </w:tc>
        <w:tc>
          <w:tcPr>
            <w:tcW w:w="1046" w:type="dxa"/>
          </w:tcPr>
          <w:p w:rsidR="000419F4" w:rsidRPr="000419F4" w:rsidRDefault="000419F4" w:rsidP="00593F70">
            <w:pPr>
              <w:spacing w:before="0" w:after="0" w:line="240" w:lineRule="auto"/>
              <w:ind w:firstLine="0"/>
              <w:jc w:val="right"/>
              <w:rPr>
                <w:sz w:val="20"/>
              </w:rPr>
            </w:pPr>
            <w:r w:rsidRPr="000419F4">
              <w:rPr>
                <w:sz w:val="20"/>
              </w:rPr>
              <w:t>22,462</w:t>
            </w:r>
          </w:p>
        </w:tc>
        <w:tc>
          <w:tcPr>
            <w:tcW w:w="939" w:type="dxa"/>
          </w:tcPr>
          <w:p w:rsidR="000419F4" w:rsidRPr="000419F4" w:rsidRDefault="000419F4" w:rsidP="00593F70">
            <w:pPr>
              <w:spacing w:before="0" w:after="0" w:line="240" w:lineRule="auto"/>
              <w:ind w:firstLine="0"/>
              <w:jc w:val="right"/>
              <w:rPr>
                <w:sz w:val="20"/>
              </w:rPr>
            </w:pPr>
            <w:r w:rsidRPr="000419F4">
              <w:rPr>
                <w:sz w:val="20"/>
              </w:rPr>
              <w:t>24,193</w:t>
            </w:r>
          </w:p>
        </w:tc>
        <w:tc>
          <w:tcPr>
            <w:tcW w:w="1046" w:type="dxa"/>
          </w:tcPr>
          <w:p w:rsidR="000419F4" w:rsidRPr="000419F4" w:rsidRDefault="000419F4" w:rsidP="00593F70">
            <w:pPr>
              <w:spacing w:before="0" w:after="0" w:line="240" w:lineRule="auto"/>
              <w:ind w:firstLine="0"/>
              <w:jc w:val="right"/>
              <w:rPr>
                <w:sz w:val="20"/>
              </w:rPr>
            </w:pPr>
            <w:r w:rsidRPr="000419F4">
              <w:rPr>
                <w:sz w:val="20"/>
              </w:rPr>
              <w:t>25,650</w:t>
            </w:r>
          </w:p>
        </w:tc>
        <w:tc>
          <w:tcPr>
            <w:tcW w:w="939" w:type="dxa"/>
          </w:tcPr>
          <w:p w:rsidR="000419F4" w:rsidRPr="000419F4" w:rsidRDefault="000419F4" w:rsidP="00593F70">
            <w:pPr>
              <w:spacing w:before="0" w:after="0" w:line="240" w:lineRule="auto"/>
              <w:ind w:firstLine="0"/>
              <w:jc w:val="right"/>
              <w:rPr>
                <w:sz w:val="20"/>
              </w:rPr>
            </w:pPr>
            <w:r w:rsidRPr="000419F4">
              <w:rPr>
                <w:sz w:val="20"/>
              </w:rPr>
              <w:t>26,608</w:t>
            </w:r>
          </w:p>
        </w:tc>
        <w:tc>
          <w:tcPr>
            <w:tcW w:w="939" w:type="dxa"/>
          </w:tcPr>
          <w:p w:rsidR="000419F4" w:rsidRPr="000419F4" w:rsidRDefault="000419F4" w:rsidP="00593F70">
            <w:pPr>
              <w:spacing w:before="0" w:after="0" w:line="240" w:lineRule="auto"/>
              <w:ind w:firstLine="0"/>
              <w:jc w:val="right"/>
              <w:rPr>
                <w:sz w:val="20"/>
              </w:rPr>
            </w:pPr>
            <w:r w:rsidRPr="000419F4">
              <w:rPr>
                <w:sz w:val="20"/>
              </w:rPr>
              <w:t>27,298</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proofErr w:type="spellStart"/>
            <w:r w:rsidRPr="000419F4">
              <w:rPr>
                <w:sz w:val="20"/>
              </w:rPr>
              <w:t>Jalacingo</w:t>
            </w:r>
            <w:proofErr w:type="spellEnd"/>
          </w:p>
        </w:tc>
        <w:tc>
          <w:tcPr>
            <w:tcW w:w="1047" w:type="dxa"/>
          </w:tcPr>
          <w:p w:rsidR="000419F4" w:rsidRPr="000419F4" w:rsidRDefault="000419F4" w:rsidP="00593F70">
            <w:pPr>
              <w:spacing w:before="0" w:after="0" w:line="240" w:lineRule="auto"/>
              <w:ind w:firstLine="0"/>
              <w:jc w:val="right"/>
              <w:rPr>
                <w:sz w:val="20"/>
              </w:rPr>
            </w:pPr>
            <w:r w:rsidRPr="000419F4">
              <w:rPr>
                <w:sz w:val="20"/>
              </w:rPr>
              <w:t>13,231</w:t>
            </w:r>
          </w:p>
        </w:tc>
        <w:tc>
          <w:tcPr>
            <w:tcW w:w="939" w:type="dxa"/>
          </w:tcPr>
          <w:p w:rsidR="000419F4" w:rsidRPr="000419F4" w:rsidRDefault="000419F4" w:rsidP="00593F70">
            <w:pPr>
              <w:spacing w:before="0" w:after="0" w:line="240" w:lineRule="auto"/>
              <w:ind w:firstLine="0"/>
              <w:jc w:val="right"/>
              <w:rPr>
                <w:sz w:val="20"/>
              </w:rPr>
            </w:pPr>
            <w:r w:rsidRPr="000419F4">
              <w:rPr>
                <w:sz w:val="20"/>
              </w:rPr>
              <w:t>14,317</w:t>
            </w:r>
          </w:p>
        </w:tc>
        <w:tc>
          <w:tcPr>
            <w:tcW w:w="1046" w:type="dxa"/>
          </w:tcPr>
          <w:p w:rsidR="000419F4" w:rsidRPr="000419F4" w:rsidRDefault="000419F4" w:rsidP="00593F70">
            <w:pPr>
              <w:spacing w:before="0" w:after="0" w:line="240" w:lineRule="auto"/>
              <w:ind w:firstLine="0"/>
              <w:jc w:val="right"/>
              <w:rPr>
                <w:sz w:val="20"/>
              </w:rPr>
            </w:pPr>
            <w:r w:rsidRPr="000419F4">
              <w:rPr>
                <w:sz w:val="20"/>
              </w:rPr>
              <w:t>16,473</w:t>
            </w:r>
          </w:p>
        </w:tc>
        <w:tc>
          <w:tcPr>
            <w:tcW w:w="939" w:type="dxa"/>
          </w:tcPr>
          <w:p w:rsidR="000419F4" w:rsidRPr="000419F4" w:rsidRDefault="000419F4" w:rsidP="00593F70">
            <w:pPr>
              <w:spacing w:before="0" w:after="0" w:line="240" w:lineRule="auto"/>
              <w:ind w:firstLine="0"/>
              <w:jc w:val="right"/>
              <w:rPr>
                <w:sz w:val="20"/>
              </w:rPr>
            </w:pPr>
            <w:r w:rsidRPr="000419F4">
              <w:rPr>
                <w:sz w:val="20"/>
              </w:rPr>
              <w:t>18,587</w:t>
            </w:r>
          </w:p>
        </w:tc>
        <w:tc>
          <w:tcPr>
            <w:tcW w:w="1046" w:type="dxa"/>
          </w:tcPr>
          <w:p w:rsidR="000419F4" w:rsidRPr="000419F4" w:rsidRDefault="000419F4" w:rsidP="00593F70">
            <w:pPr>
              <w:spacing w:before="0" w:after="0" w:line="240" w:lineRule="auto"/>
              <w:ind w:firstLine="0"/>
              <w:jc w:val="right"/>
              <w:rPr>
                <w:sz w:val="20"/>
              </w:rPr>
            </w:pPr>
            <w:r w:rsidRPr="000419F4">
              <w:rPr>
                <w:sz w:val="20"/>
              </w:rPr>
              <w:t>20,571</w:t>
            </w:r>
          </w:p>
        </w:tc>
        <w:tc>
          <w:tcPr>
            <w:tcW w:w="939" w:type="dxa"/>
          </w:tcPr>
          <w:p w:rsidR="000419F4" w:rsidRPr="000419F4" w:rsidRDefault="000419F4" w:rsidP="00593F70">
            <w:pPr>
              <w:spacing w:before="0" w:after="0" w:line="240" w:lineRule="auto"/>
              <w:ind w:firstLine="0"/>
              <w:jc w:val="right"/>
              <w:rPr>
                <w:sz w:val="20"/>
              </w:rPr>
            </w:pPr>
            <w:r w:rsidRPr="000419F4">
              <w:rPr>
                <w:sz w:val="20"/>
              </w:rPr>
              <w:t>22,056</w:t>
            </w:r>
          </w:p>
        </w:tc>
        <w:tc>
          <w:tcPr>
            <w:tcW w:w="939" w:type="dxa"/>
          </w:tcPr>
          <w:p w:rsidR="000419F4" w:rsidRPr="000419F4" w:rsidRDefault="000419F4" w:rsidP="00593F70">
            <w:pPr>
              <w:spacing w:before="0" w:after="0" w:line="240" w:lineRule="auto"/>
              <w:ind w:firstLine="0"/>
              <w:jc w:val="right"/>
              <w:rPr>
                <w:sz w:val="20"/>
              </w:rPr>
            </w:pPr>
            <w:r w:rsidRPr="000419F4">
              <w:rPr>
                <w:sz w:val="20"/>
              </w:rPr>
              <w:t>23,330</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 xml:space="preserve">5,000 - 10,000 </w:t>
            </w:r>
            <w:proofErr w:type="spellStart"/>
            <w:r w:rsidRPr="000419F4">
              <w:rPr>
                <w:sz w:val="20"/>
              </w:rPr>
              <w:t>hab</w:t>
            </w:r>
            <w:proofErr w:type="spellEnd"/>
            <w:r w:rsidRPr="000419F4">
              <w:rPr>
                <w:sz w:val="20"/>
              </w:rPr>
              <w:t>.</w:t>
            </w:r>
          </w:p>
        </w:tc>
        <w:tc>
          <w:tcPr>
            <w:tcW w:w="1047" w:type="dxa"/>
          </w:tcPr>
          <w:p w:rsidR="000419F4" w:rsidRPr="000419F4" w:rsidRDefault="000419F4" w:rsidP="00593F70">
            <w:pPr>
              <w:spacing w:before="0" w:after="0" w:line="240" w:lineRule="auto"/>
              <w:ind w:firstLine="0"/>
              <w:jc w:val="right"/>
              <w:rPr>
                <w:sz w:val="20"/>
              </w:rPr>
            </w:pPr>
            <w:r w:rsidRPr="000419F4">
              <w:rPr>
                <w:sz w:val="20"/>
              </w:rPr>
              <w:t>96,060</w:t>
            </w:r>
          </w:p>
        </w:tc>
        <w:tc>
          <w:tcPr>
            <w:tcW w:w="939" w:type="dxa"/>
          </w:tcPr>
          <w:p w:rsidR="000419F4" w:rsidRPr="000419F4" w:rsidRDefault="000419F4" w:rsidP="00593F70">
            <w:pPr>
              <w:spacing w:before="0" w:after="0" w:line="240" w:lineRule="auto"/>
              <w:ind w:firstLine="0"/>
              <w:jc w:val="right"/>
              <w:rPr>
                <w:sz w:val="20"/>
              </w:rPr>
            </w:pPr>
            <w:r w:rsidRPr="000419F4">
              <w:rPr>
                <w:sz w:val="20"/>
              </w:rPr>
              <w:t>99,818</w:t>
            </w:r>
          </w:p>
        </w:tc>
        <w:tc>
          <w:tcPr>
            <w:tcW w:w="1046" w:type="dxa"/>
          </w:tcPr>
          <w:p w:rsidR="000419F4" w:rsidRPr="000419F4" w:rsidRDefault="000419F4" w:rsidP="00593F70">
            <w:pPr>
              <w:spacing w:before="0" w:after="0" w:line="240" w:lineRule="auto"/>
              <w:ind w:firstLine="0"/>
              <w:jc w:val="right"/>
              <w:rPr>
                <w:sz w:val="20"/>
              </w:rPr>
            </w:pPr>
            <w:r w:rsidRPr="000419F4">
              <w:rPr>
                <w:sz w:val="20"/>
              </w:rPr>
              <w:t>107,034</w:t>
            </w:r>
          </w:p>
        </w:tc>
        <w:tc>
          <w:tcPr>
            <w:tcW w:w="939" w:type="dxa"/>
          </w:tcPr>
          <w:p w:rsidR="000419F4" w:rsidRPr="000419F4" w:rsidRDefault="000419F4" w:rsidP="00593F70">
            <w:pPr>
              <w:spacing w:before="0" w:after="0" w:line="240" w:lineRule="auto"/>
              <w:ind w:firstLine="0"/>
              <w:jc w:val="right"/>
              <w:rPr>
                <w:sz w:val="20"/>
              </w:rPr>
            </w:pPr>
            <w:r w:rsidRPr="000419F4">
              <w:rPr>
                <w:sz w:val="20"/>
              </w:rPr>
              <w:t>113,889</w:t>
            </w:r>
          </w:p>
        </w:tc>
        <w:tc>
          <w:tcPr>
            <w:tcW w:w="1046" w:type="dxa"/>
          </w:tcPr>
          <w:p w:rsidR="000419F4" w:rsidRPr="000419F4" w:rsidRDefault="000419F4" w:rsidP="00593F70">
            <w:pPr>
              <w:spacing w:before="0" w:after="0" w:line="240" w:lineRule="auto"/>
              <w:ind w:firstLine="0"/>
              <w:jc w:val="right"/>
              <w:rPr>
                <w:sz w:val="20"/>
              </w:rPr>
            </w:pPr>
            <w:r w:rsidRPr="000419F4">
              <w:rPr>
                <w:sz w:val="20"/>
              </w:rPr>
              <w:t>120,123</w:t>
            </w:r>
          </w:p>
        </w:tc>
        <w:tc>
          <w:tcPr>
            <w:tcW w:w="939" w:type="dxa"/>
          </w:tcPr>
          <w:p w:rsidR="000419F4" w:rsidRPr="000419F4" w:rsidRDefault="000419F4" w:rsidP="00593F70">
            <w:pPr>
              <w:spacing w:before="0" w:after="0" w:line="240" w:lineRule="auto"/>
              <w:ind w:firstLine="0"/>
              <w:jc w:val="right"/>
              <w:rPr>
                <w:sz w:val="20"/>
              </w:rPr>
            </w:pPr>
            <w:r w:rsidRPr="000419F4">
              <w:rPr>
                <w:sz w:val="20"/>
              </w:rPr>
              <w:t>124,633</w:t>
            </w:r>
          </w:p>
        </w:tc>
        <w:tc>
          <w:tcPr>
            <w:tcW w:w="939" w:type="dxa"/>
          </w:tcPr>
          <w:p w:rsidR="000419F4" w:rsidRPr="000419F4" w:rsidRDefault="000419F4" w:rsidP="00593F70">
            <w:pPr>
              <w:spacing w:before="0" w:after="0" w:line="240" w:lineRule="auto"/>
              <w:ind w:firstLine="0"/>
              <w:jc w:val="right"/>
              <w:rPr>
                <w:sz w:val="20"/>
              </w:rPr>
            </w:pPr>
            <w:r w:rsidRPr="000419F4">
              <w:rPr>
                <w:sz w:val="20"/>
              </w:rPr>
              <w:t>128,371</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 xml:space="preserve">2,500 - 5,000 </w:t>
            </w:r>
            <w:proofErr w:type="spellStart"/>
            <w:r w:rsidRPr="000419F4">
              <w:rPr>
                <w:sz w:val="20"/>
              </w:rPr>
              <w:t>hab</w:t>
            </w:r>
            <w:proofErr w:type="spellEnd"/>
            <w:r w:rsidRPr="000419F4">
              <w:rPr>
                <w:sz w:val="20"/>
              </w:rPr>
              <w:t>.</w:t>
            </w:r>
          </w:p>
        </w:tc>
        <w:tc>
          <w:tcPr>
            <w:tcW w:w="1047" w:type="dxa"/>
          </w:tcPr>
          <w:p w:rsidR="000419F4" w:rsidRPr="000419F4" w:rsidRDefault="000419F4" w:rsidP="00593F70">
            <w:pPr>
              <w:spacing w:before="0" w:after="0" w:line="240" w:lineRule="auto"/>
              <w:ind w:firstLine="0"/>
              <w:jc w:val="right"/>
              <w:rPr>
                <w:sz w:val="20"/>
              </w:rPr>
            </w:pPr>
            <w:r w:rsidRPr="000419F4">
              <w:rPr>
                <w:sz w:val="20"/>
              </w:rPr>
              <w:t>84,555</w:t>
            </w:r>
          </w:p>
        </w:tc>
        <w:tc>
          <w:tcPr>
            <w:tcW w:w="939" w:type="dxa"/>
          </w:tcPr>
          <w:p w:rsidR="000419F4" w:rsidRPr="000419F4" w:rsidRDefault="000419F4" w:rsidP="00593F70">
            <w:pPr>
              <w:spacing w:before="0" w:after="0" w:line="240" w:lineRule="auto"/>
              <w:ind w:firstLine="0"/>
              <w:jc w:val="right"/>
              <w:rPr>
                <w:sz w:val="20"/>
              </w:rPr>
            </w:pPr>
            <w:r w:rsidRPr="000419F4">
              <w:rPr>
                <w:sz w:val="20"/>
              </w:rPr>
              <w:t>88,711</w:t>
            </w:r>
          </w:p>
        </w:tc>
        <w:tc>
          <w:tcPr>
            <w:tcW w:w="1046" w:type="dxa"/>
          </w:tcPr>
          <w:p w:rsidR="000419F4" w:rsidRPr="000419F4" w:rsidRDefault="000419F4" w:rsidP="00593F70">
            <w:pPr>
              <w:spacing w:before="0" w:after="0" w:line="240" w:lineRule="auto"/>
              <w:ind w:firstLine="0"/>
              <w:jc w:val="right"/>
              <w:rPr>
                <w:sz w:val="20"/>
              </w:rPr>
            </w:pPr>
            <w:r w:rsidRPr="000419F4">
              <w:rPr>
                <w:sz w:val="20"/>
              </w:rPr>
              <w:t>96,849</w:t>
            </w:r>
          </w:p>
        </w:tc>
        <w:tc>
          <w:tcPr>
            <w:tcW w:w="939" w:type="dxa"/>
          </w:tcPr>
          <w:p w:rsidR="000419F4" w:rsidRPr="000419F4" w:rsidRDefault="000419F4" w:rsidP="00593F70">
            <w:pPr>
              <w:spacing w:before="0" w:after="0" w:line="240" w:lineRule="auto"/>
              <w:ind w:firstLine="0"/>
              <w:jc w:val="right"/>
              <w:rPr>
                <w:sz w:val="20"/>
              </w:rPr>
            </w:pPr>
            <w:r w:rsidRPr="000419F4">
              <w:rPr>
                <w:sz w:val="20"/>
              </w:rPr>
              <w:t>104,731</w:t>
            </w:r>
          </w:p>
        </w:tc>
        <w:tc>
          <w:tcPr>
            <w:tcW w:w="1046" w:type="dxa"/>
          </w:tcPr>
          <w:p w:rsidR="000419F4" w:rsidRPr="000419F4" w:rsidRDefault="000419F4" w:rsidP="00593F70">
            <w:pPr>
              <w:spacing w:before="0" w:after="0" w:line="240" w:lineRule="auto"/>
              <w:ind w:firstLine="0"/>
              <w:jc w:val="right"/>
              <w:rPr>
                <w:sz w:val="20"/>
              </w:rPr>
            </w:pPr>
            <w:r w:rsidRPr="000419F4">
              <w:rPr>
                <w:sz w:val="20"/>
              </w:rPr>
              <w:t>112,036</w:t>
            </w:r>
          </w:p>
        </w:tc>
        <w:tc>
          <w:tcPr>
            <w:tcW w:w="939" w:type="dxa"/>
          </w:tcPr>
          <w:p w:rsidR="000419F4" w:rsidRPr="000419F4" w:rsidRDefault="000419F4" w:rsidP="00593F70">
            <w:pPr>
              <w:spacing w:before="0" w:after="0" w:line="240" w:lineRule="auto"/>
              <w:ind w:firstLine="0"/>
              <w:jc w:val="right"/>
              <w:rPr>
                <w:sz w:val="20"/>
              </w:rPr>
            </w:pPr>
            <w:r w:rsidRPr="000419F4">
              <w:rPr>
                <w:sz w:val="20"/>
              </w:rPr>
              <w:t>117,464</w:t>
            </w:r>
          </w:p>
        </w:tc>
        <w:tc>
          <w:tcPr>
            <w:tcW w:w="939" w:type="dxa"/>
          </w:tcPr>
          <w:p w:rsidR="000419F4" w:rsidRPr="000419F4" w:rsidRDefault="000419F4" w:rsidP="00593F70">
            <w:pPr>
              <w:spacing w:before="0" w:after="0" w:line="240" w:lineRule="auto"/>
              <w:ind w:firstLine="0"/>
              <w:jc w:val="right"/>
              <w:rPr>
                <w:sz w:val="20"/>
              </w:rPr>
            </w:pPr>
            <w:r w:rsidRPr="000419F4">
              <w:rPr>
                <w:sz w:val="20"/>
              </w:rPr>
              <w:t>122,157</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 xml:space="preserve">1,000 - 2,500 </w:t>
            </w:r>
            <w:proofErr w:type="spellStart"/>
            <w:r w:rsidRPr="000419F4">
              <w:rPr>
                <w:sz w:val="20"/>
              </w:rPr>
              <w:t>hab</w:t>
            </w:r>
            <w:proofErr w:type="spellEnd"/>
            <w:r w:rsidRPr="000419F4">
              <w:rPr>
                <w:sz w:val="20"/>
              </w:rPr>
              <w:t>.</w:t>
            </w:r>
          </w:p>
        </w:tc>
        <w:tc>
          <w:tcPr>
            <w:tcW w:w="1047" w:type="dxa"/>
          </w:tcPr>
          <w:p w:rsidR="000419F4" w:rsidRPr="000419F4" w:rsidRDefault="000419F4" w:rsidP="00593F70">
            <w:pPr>
              <w:spacing w:before="0" w:after="0" w:line="240" w:lineRule="auto"/>
              <w:ind w:firstLine="0"/>
              <w:jc w:val="right"/>
              <w:rPr>
                <w:sz w:val="20"/>
              </w:rPr>
            </w:pPr>
            <w:r w:rsidRPr="000419F4">
              <w:rPr>
                <w:sz w:val="20"/>
              </w:rPr>
              <w:t>142,159</w:t>
            </w:r>
          </w:p>
        </w:tc>
        <w:tc>
          <w:tcPr>
            <w:tcW w:w="939" w:type="dxa"/>
          </w:tcPr>
          <w:p w:rsidR="000419F4" w:rsidRPr="000419F4" w:rsidRDefault="000419F4" w:rsidP="00593F70">
            <w:pPr>
              <w:spacing w:before="0" w:after="0" w:line="240" w:lineRule="auto"/>
              <w:ind w:firstLine="0"/>
              <w:jc w:val="right"/>
              <w:rPr>
                <w:sz w:val="20"/>
              </w:rPr>
            </w:pPr>
            <w:r w:rsidRPr="000419F4">
              <w:rPr>
                <w:sz w:val="20"/>
              </w:rPr>
              <w:t>147,135</w:t>
            </w:r>
          </w:p>
        </w:tc>
        <w:tc>
          <w:tcPr>
            <w:tcW w:w="1046" w:type="dxa"/>
          </w:tcPr>
          <w:p w:rsidR="000419F4" w:rsidRPr="000419F4" w:rsidRDefault="000419F4" w:rsidP="00593F70">
            <w:pPr>
              <w:spacing w:before="0" w:after="0" w:line="240" w:lineRule="auto"/>
              <w:ind w:firstLine="0"/>
              <w:jc w:val="right"/>
              <w:rPr>
                <w:sz w:val="20"/>
              </w:rPr>
            </w:pPr>
            <w:r w:rsidRPr="000419F4">
              <w:rPr>
                <w:sz w:val="20"/>
              </w:rPr>
              <w:t>155,987</w:t>
            </w:r>
          </w:p>
        </w:tc>
        <w:tc>
          <w:tcPr>
            <w:tcW w:w="939" w:type="dxa"/>
          </w:tcPr>
          <w:p w:rsidR="000419F4" w:rsidRPr="000419F4" w:rsidRDefault="000419F4" w:rsidP="00593F70">
            <w:pPr>
              <w:spacing w:before="0" w:after="0" w:line="240" w:lineRule="auto"/>
              <w:ind w:firstLine="0"/>
              <w:jc w:val="right"/>
              <w:rPr>
                <w:sz w:val="20"/>
              </w:rPr>
            </w:pPr>
            <w:r w:rsidRPr="000419F4">
              <w:rPr>
                <w:sz w:val="20"/>
              </w:rPr>
              <w:t>164,145</w:t>
            </w:r>
          </w:p>
        </w:tc>
        <w:tc>
          <w:tcPr>
            <w:tcW w:w="1046" w:type="dxa"/>
          </w:tcPr>
          <w:p w:rsidR="000419F4" w:rsidRPr="000419F4" w:rsidRDefault="000419F4" w:rsidP="00593F70">
            <w:pPr>
              <w:spacing w:before="0" w:after="0" w:line="240" w:lineRule="auto"/>
              <w:ind w:firstLine="0"/>
              <w:jc w:val="right"/>
              <w:rPr>
                <w:sz w:val="20"/>
              </w:rPr>
            </w:pPr>
            <w:r w:rsidRPr="000419F4">
              <w:rPr>
                <w:sz w:val="20"/>
              </w:rPr>
              <w:t>171,324</w:t>
            </w:r>
          </w:p>
        </w:tc>
        <w:tc>
          <w:tcPr>
            <w:tcW w:w="939" w:type="dxa"/>
          </w:tcPr>
          <w:p w:rsidR="000419F4" w:rsidRPr="000419F4" w:rsidRDefault="000419F4" w:rsidP="00593F70">
            <w:pPr>
              <w:spacing w:before="0" w:after="0" w:line="240" w:lineRule="auto"/>
              <w:ind w:firstLine="0"/>
              <w:jc w:val="right"/>
              <w:rPr>
                <w:sz w:val="20"/>
              </w:rPr>
            </w:pPr>
            <w:r w:rsidRPr="000419F4">
              <w:rPr>
                <w:sz w:val="20"/>
              </w:rPr>
              <w:t>176,079</w:t>
            </w:r>
          </w:p>
        </w:tc>
        <w:tc>
          <w:tcPr>
            <w:tcW w:w="939" w:type="dxa"/>
          </w:tcPr>
          <w:p w:rsidR="000419F4" w:rsidRPr="000419F4" w:rsidRDefault="000419F4" w:rsidP="00593F70">
            <w:pPr>
              <w:spacing w:before="0" w:after="0" w:line="240" w:lineRule="auto"/>
              <w:ind w:firstLine="0"/>
              <w:jc w:val="right"/>
              <w:rPr>
                <w:sz w:val="20"/>
              </w:rPr>
            </w:pPr>
            <w:r w:rsidRPr="000419F4">
              <w:rPr>
                <w:sz w:val="20"/>
              </w:rPr>
              <w:t>180,219</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 xml:space="preserve">100 - 1,000 </w:t>
            </w:r>
            <w:proofErr w:type="spellStart"/>
            <w:r w:rsidRPr="000419F4">
              <w:rPr>
                <w:sz w:val="20"/>
              </w:rPr>
              <w:t>hab</w:t>
            </w:r>
            <w:proofErr w:type="spellEnd"/>
            <w:r w:rsidRPr="000419F4">
              <w:rPr>
                <w:sz w:val="20"/>
              </w:rPr>
              <w:t>.</w:t>
            </w:r>
          </w:p>
        </w:tc>
        <w:tc>
          <w:tcPr>
            <w:tcW w:w="1047" w:type="dxa"/>
          </w:tcPr>
          <w:p w:rsidR="000419F4" w:rsidRPr="000419F4" w:rsidRDefault="000419F4" w:rsidP="00593F70">
            <w:pPr>
              <w:spacing w:before="0" w:after="0" w:line="240" w:lineRule="auto"/>
              <w:ind w:firstLine="0"/>
              <w:jc w:val="right"/>
              <w:rPr>
                <w:sz w:val="20"/>
              </w:rPr>
            </w:pPr>
            <w:r w:rsidRPr="000419F4">
              <w:rPr>
                <w:sz w:val="20"/>
              </w:rPr>
              <w:t>137,209</w:t>
            </w:r>
          </w:p>
        </w:tc>
        <w:tc>
          <w:tcPr>
            <w:tcW w:w="939" w:type="dxa"/>
          </w:tcPr>
          <w:p w:rsidR="000419F4" w:rsidRPr="000419F4" w:rsidRDefault="000419F4" w:rsidP="00593F70">
            <w:pPr>
              <w:spacing w:before="0" w:after="0" w:line="240" w:lineRule="auto"/>
              <w:ind w:firstLine="0"/>
              <w:jc w:val="right"/>
              <w:rPr>
                <w:sz w:val="20"/>
              </w:rPr>
            </w:pPr>
            <w:r w:rsidRPr="000419F4">
              <w:rPr>
                <w:sz w:val="20"/>
              </w:rPr>
              <w:t>140,850</w:t>
            </w:r>
          </w:p>
        </w:tc>
        <w:tc>
          <w:tcPr>
            <w:tcW w:w="1046" w:type="dxa"/>
          </w:tcPr>
          <w:p w:rsidR="000419F4" w:rsidRPr="000419F4" w:rsidRDefault="000419F4" w:rsidP="00593F70">
            <w:pPr>
              <w:spacing w:before="0" w:after="0" w:line="240" w:lineRule="auto"/>
              <w:ind w:firstLine="0"/>
              <w:jc w:val="right"/>
              <w:rPr>
                <w:sz w:val="20"/>
              </w:rPr>
            </w:pPr>
            <w:r w:rsidRPr="000419F4">
              <w:rPr>
                <w:sz w:val="20"/>
              </w:rPr>
              <w:t>146,272</w:t>
            </w:r>
          </w:p>
        </w:tc>
        <w:tc>
          <w:tcPr>
            <w:tcW w:w="939" w:type="dxa"/>
          </w:tcPr>
          <w:p w:rsidR="000419F4" w:rsidRPr="000419F4" w:rsidRDefault="000419F4" w:rsidP="00593F70">
            <w:pPr>
              <w:spacing w:before="0" w:after="0" w:line="240" w:lineRule="auto"/>
              <w:ind w:firstLine="0"/>
              <w:jc w:val="right"/>
              <w:rPr>
                <w:sz w:val="20"/>
              </w:rPr>
            </w:pPr>
            <w:r w:rsidRPr="000419F4">
              <w:rPr>
                <w:sz w:val="20"/>
              </w:rPr>
              <w:t>150,966</w:t>
            </w:r>
          </w:p>
        </w:tc>
        <w:tc>
          <w:tcPr>
            <w:tcW w:w="1046" w:type="dxa"/>
          </w:tcPr>
          <w:p w:rsidR="000419F4" w:rsidRPr="000419F4" w:rsidRDefault="000419F4" w:rsidP="00593F70">
            <w:pPr>
              <w:spacing w:before="0" w:after="0" w:line="240" w:lineRule="auto"/>
              <w:ind w:firstLine="0"/>
              <w:jc w:val="right"/>
              <w:rPr>
                <w:sz w:val="20"/>
              </w:rPr>
            </w:pPr>
            <w:r w:rsidRPr="000419F4">
              <w:rPr>
                <w:sz w:val="20"/>
              </w:rPr>
              <w:t>154,816</w:t>
            </w:r>
          </w:p>
        </w:tc>
        <w:tc>
          <w:tcPr>
            <w:tcW w:w="939" w:type="dxa"/>
          </w:tcPr>
          <w:p w:rsidR="000419F4" w:rsidRPr="000419F4" w:rsidRDefault="000419F4" w:rsidP="00593F70">
            <w:pPr>
              <w:spacing w:before="0" w:after="0" w:line="240" w:lineRule="auto"/>
              <w:ind w:firstLine="0"/>
              <w:jc w:val="right"/>
              <w:rPr>
                <w:sz w:val="20"/>
              </w:rPr>
            </w:pPr>
            <w:r w:rsidRPr="000419F4">
              <w:rPr>
                <w:sz w:val="20"/>
              </w:rPr>
              <w:t>156,645</w:t>
            </w:r>
          </w:p>
        </w:tc>
        <w:tc>
          <w:tcPr>
            <w:tcW w:w="939" w:type="dxa"/>
          </w:tcPr>
          <w:p w:rsidR="000419F4" w:rsidRPr="000419F4" w:rsidRDefault="000419F4" w:rsidP="00593F70">
            <w:pPr>
              <w:spacing w:before="0" w:after="0" w:line="240" w:lineRule="auto"/>
              <w:ind w:firstLine="0"/>
              <w:jc w:val="right"/>
              <w:rPr>
                <w:sz w:val="20"/>
              </w:rPr>
            </w:pPr>
            <w:r w:rsidRPr="000419F4">
              <w:rPr>
                <w:sz w:val="20"/>
              </w:rPr>
              <w:t>158,973</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 xml:space="preserve">&lt; 100 </w:t>
            </w:r>
            <w:proofErr w:type="spellStart"/>
            <w:r w:rsidRPr="000419F4">
              <w:rPr>
                <w:sz w:val="20"/>
              </w:rPr>
              <w:t>hab</w:t>
            </w:r>
            <w:proofErr w:type="spellEnd"/>
            <w:r w:rsidRPr="000419F4">
              <w:rPr>
                <w:sz w:val="20"/>
              </w:rPr>
              <w:t>.</w:t>
            </w:r>
          </w:p>
        </w:tc>
        <w:tc>
          <w:tcPr>
            <w:tcW w:w="1047" w:type="dxa"/>
          </w:tcPr>
          <w:p w:rsidR="000419F4" w:rsidRPr="000419F4" w:rsidRDefault="000419F4" w:rsidP="00593F70">
            <w:pPr>
              <w:spacing w:before="0" w:after="0" w:line="240" w:lineRule="auto"/>
              <w:ind w:firstLine="0"/>
              <w:jc w:val="right"/>
              <w:rPr>
                <w:sz w:val="20"/>
              </w:rPr>
            </w:pPr>
            <w:r w:rsidRPr="000419F4">
              <w:rPr>
                <w:sz w:val="20"/>
              </w:rPr>
              <w:t>10,578</w:t>
            </w:r>
          </w:p>
        </w:tc>
        <w:tc>
          <w:tcPr>
            <w:tcW w:w="939" w:type="dxa"/>
          </w:tcPr>
          <w:p w:rsidR="000419F4" w:rsidRPr="000419F4" w:rsidRDefault="000419F4" w:rsidP="00593F70">
            <w:pPr>
              <w:spacing w:before="0" w:after="0" w:line="240" w:lineRule="auto"/>
              <w:ind w:firstLine="0"/>
              <w:jc w:val="right"/>
              <w:rPr>
                <w:sz w:val="20"/>
              </w:rPr>
            </w:pPr>
            <w:r w:rsidRPr="000419F4">
              <w:rPr>
                <w:sz w:val="20"/>
              </w:rPr>
              <w:t>10,796</w:t>
            </w:r>
          </w:p>
        </w:tc>
        <w:tc>
          <w:tcPr>
            <w:tcW w:w="1046" w:type="dxa"/>
          </w:tcPr>
          <w:p w:rsidR="000419F4" w:rsidRPr="000419F4" w:rsidRDefault="000419F4" w:rsidP="00593F70">
            <w:pPr>
              <w:spacing w:before="0" w:after="0" w:line="240" w:lineRule="auto"/>
              <w:ind w:firstLine="0"/>
              <w:jc w:val="right"/>
              <w:rPr>
                <w:sz w:val="20"/>
              </w:rPr>
            </w:pPr>
            <w:r w:rsidRPr="000419F4">
              <w:rPr>
                <w:sz w:val="20"/>
              </w:rPr>
              <w:t>11,119</w:t>
            </w:r>
          </w:p>
        </w:tc>
        <w:tc>
          <w:tcPr>
            <w:tcW w:w="939" w:type="dxa"/>
          </w:tcPr>
          <w:p w:rsidR="000419F4" w:rsidRPr="000419F4" w:rsidRDefault="000419F4" w:rsidP="00593F70">
            <w:pPr>
              <w:spacing w:before="0" w:after="0" w:line="240" w:lineRule="auto"/>
              <w:ind w:firstLine="0"/>
              <w:jc w:val="right"/>
              <w:rPr>
                <w:sz w:val="20"/>
              </w:rPr>
            </w:pPr>
            <w:r w:rsidRPr="000419F4">
              <w:rPr>
                <w:sz w:val="20"/>
              </w:rPr>
              <w:t>11,390</w:t>
            </w:r>
          </w:p>
        </w:tc>
        <w:tc>
          <w:tcPr>
            <w:tcW w:w="1046" w:type="dxa"/>
          </w:tcPr>
          <w:p w:rsidR="000419F4" w:rsidRPr="000419F4" w:rsidRDefault="000419F4" w:rsidP="00593F70">
            <w:pPr>
              <w:spacing w:before="0" w:after="0" w:line="240" w:lineRule="auto"/>
              <w:ind w:firstLine="0"/>
              <w:jc w:val="right"/>
              <w:rPr>
                <w:sz w:val="20"/>
              </w:rPr>
            </w:pPr>
            <w:r w:rsidRPr="000419F4">
              <w:rPr>
                <w:sz w:val="20"/>
              </w:rPr>
              <w:t>11,577</w:t>
            </w:r>
          </w:p>
        </w:tc>
        <w:tc>
          <w:tcPr>
            <w:tcW w:w="939" w:type="dxa"/>
          </w:tcPr>
          <w:p w:rsidR="000419F4" w:rsidRPr="000419F4" w:rsidRDefault="000419F4" w:rsidP="00593F70">
            <w:pPr>
              <w:spacing w:before="0" w:after="0" w:line="240" w:lineRule="auto"/>
              <w:ind w:firstLine="0"/>
              <w:jc w:val="right"/>
              <w:rPr>
                <w:sz w:val="20"/>
              </w:rPr>
            </w:pPr>
            <w:r w:rsidRPr="000419F4">
              <w:rPr>
                <w:sz w:val="20"/>
              </w:rPr>
              <w:t>11,683</w:t>
            </w:r>
          </w:p>
        </w:tc>
        <w:tc>
          <w:tcPr>
            <w:tcW w:w="939" w:type="dxa"/>
          </w:tcPr>
          <w:p w:rsidR="000419F4" w:rsidRPr="000419F4" w:rsidRDefault="000419F4" w:rsidP="00593F70">
            <w:pPr>
              <w:spacing w:before="0" w:after="0" w:line="240" w:lineRule="auto"/>
              <w:ind w:firstLine="0"/>
              <w:jc w:val="right"/>
              <w:rPr>
                <w:sz w:val="20"/>
              </w:rPr>
            </w:pPr>
            <w:r w:rsidRPr="000419F4">
              <w:rPr>
                <w:sz w:val="20"/>
              </w:rPr>
              <w:t>11,795</w:t>
            </w:r>
          </w:p>
        </w:tc>
      </w:tr>
      <w:tr w:rsidR="000419F4" w:rsidRPr="000419F4" w:rsidTr="00593F70">
        <w:tc>
          <w:tcPr>
            <w:tcW w:w="3227" w:type="dxa"/>
          </w:tcPr>
          <w:p w:rsidR="000419F4" w:rsidRPr="000419F4" w:rsidRDefault="000419F4" w:rsidP="00593F70">
            <w:pPr>
              <w:spacing w:before="0" w:after="0" w:line="240" w:lineRule="auto"/>
              <w:ind w:firstLine="0"/>
              <w:jc w:val="left"/>
              <w:rPr>
                <w:sz w:val="20"/>
              </w:rPr>
            </w:pPr>
            <w:r w:rsidRPr="000419F4">
              <w:rPr>
                <w:sz w:val="20"/>
              </w:rPr>
              <w:t>Total</w:t>
            </w:r>
          </w:p>
        </w:tc>
        <w:tc>
          <w:tcPr>
            <w:tcW w:w="1047" w:type="dxa"/>
          </w:tcPr>
          <w:p w:rsidR="000419F4" w:rsidRPr="000419F4" w:rsidRDefault="000419F4" w:rsidP="00593F70">
            <w:pPr>
              <w:spacing w:before="0" w:after="0" w:line="240" w:lineRule="auto"/>
              <w:ind w:firstLine="0"/>
              <w:jc w:val="right"/>
              <w:rPr>
                <w:sz w:val="20"/>
              </w:rPr>
            </w:pPr>
            <w:r w:rsidRPr="000419F4">
              <w:rPr>
                <w:sz w:val="20"/>
              </w:rPr>
              <w:t>662,605</w:t>
            </w:r>
          </w:p>
        </w:tc>
        <w:tc>
          <w:tcPr>
            <w:tcW w:w="939" w:type="dxa"/>
          </w:tcPr>
          <w:p w:rsidR="000419F4" w:rsidRPr="000419F4" w:rsidRDefault="000419F4" w:rsidP="00593F70">
            <w:pPr>
              <w:spacing w:before="0" w:after="0" w:line="240" w:lineRule="auto"/>
              <w:ind w:firstLine="0"/>
              <w:jc w:val="right"/>
              <w:rPr>
                <w:sz w:val="20"/>
              </w:rPr>
            </w:pPr>
            <w:r w:rsidRPr="000419F4">
              <w:rPr>
                <w:sz w:val="20"/>
              </w:rPr>
              <w:t>690,144</w:t>
            </w:r>
          </w:p>
        </w:tc>
        <w:tc>
          <w:tcPr>
            <w:tcW w:w="1046" w:type="dxa"/>
          </w:tcPr>
          <w:p w:rsidR="000419F4" w:rsidRPr="000419F4" w:rsidRDefault="000419F4" w:rsidP="00593F70">
            <w:pPr>
              <w:spacing w:before="0" w:after="0" w:line="240" w:lineRule="auto"/>
              <w:ind w:firstLine="0"/>
              <w:jc w:val="right"/>
              <w:rPr>
                <w:sz w:val="20"/>
              </w:rPr>
            </w:pPr>
            <w:r w:rsidRPr="000419F4">
              <w:rPr>
                <w:sz w:val="20"/>
              </w:rPr>
              <w:t>740,898</w:t>
            </w:r>
          </w:p>
        </w:tc>
        <w:tc>
          <w:tcPr>
            <w:tcW w:w="939" w:type="dxa"/>
          </w:tcPr>
          <w:p w:rsidR="000419F4" w:rsidRPr="000419F4" w:rsidRDefault="000419F4" w:rsidP="00593F70">
            <w:pPr>
              <w:spacing w:before="0" w:after="0" w:line="240" w:lineRule="auto"/>
              <w:ind w:firstLine="0"/>
              <w:jc w:val="right"/>
              <w:rPr>
                <w:sz w:val="20"/>
              </w:rPr>
            </w:pPr>
            <w:r w:rsidRPr="000419F4">
              <w:rPr>
                <w:sz w:val="20"/>
              </w:rPr>
              <w:t>788,446</w:t>
            </w:r>
          </w:p>
        </w:tc>
        <w:tc>
          <w:tcPr>
            <w:tcW w:w="1046" w:type="dxa"/>
          </w:tcPr>
          <w:p w:rsidR="000419F4" w:rsidRPr="000419F4" w:rsidRDefault="000419F4" w:rsidP="00593F70">
            <w:pPr>
              <w:spacing w:before="0" w:after="0" w:line="240" w:lineRule="auto"/>
              <w:ind w:firstLine="0"/>
              <w:jc w:val="right"/>
              <w:rPr>
                <w:sz w:val="20"/>
              </w:rPr>
            </w:pPr>
            <w:r w:rsidRPr="000419F4">
              <w:rPr>
                <w:sz w:val="20"/>
              </w:rPr>
              <w:t>831,032</w:t>
            </w:r>
          </w:p>
        </w:tc>
        <w:tc>
          <w:tcPr>
            <w:tcW w:w="939" w:type="dxa"/>
          </w:tcPr>
          <w:p w:rsidR="000419F4" w:rsidRPr="000419F4" w:rsidRDefault="000419F4" w:rsidP="00593F70">
            <w:pPr>
              <w:spacing w:before="0" w:after="0" w:line="240" w:lineRule="auto"/>
              <w:ind w:firstLine="0"/>
              <w:jc w:val="right"/>
              <w:rPr>
                <w:sz w:val="20"/>
              </w:rPr>
            </w:pPr>
            <w:r w:rsidRPr="000419F4">
              <w:rPr>
                <w:sz w:val="20"/>
              </w:rPr>
              <w:t>860,580</w:t>
            </w:r>
          </w:p>
        </w:tc>
        <w:tc>
          <w:tcPr>
            <w:tcW w:w="939" w:type="dxa"/>
          </w:tcPr>
          <w:p w:rsidR="000419F4" w:rsidRPr="000419F4" w:rsidRDefault="000419F4" w:rsidP="00593F70">
            <w:pPr>
              <w:spacing w:before="0" w:after="0" w:line="240" w:lineRule="auto"/>
              <w:ind w:firstLine="0"/>
              <w:jc w:val="right"/>
              <w:rPr>
                <w:sz w:val="20"/>
              </w:rPr>
            </w:pPr>
            <w:r w:rsidRPr="000419F4">
              <w:rPr>
                <w:sz w:val="20"/>
              </w:rPr>
              <w:t>886,347</w:t>
            </w:r>
          </w:p>
        </w:tc>
      </w:tr>
    </w:tbl>
    <w:p w:rsidR="000419F4" w:rsidRPr="00AA10EB" w:rsidRDefault="000419F4" w:rsidP="000419F4">
      <w:pPr>
        <w:pStyle w:val="Fuente"/>
      </w:pPr>
      <w:r>
        <w:t>FUENTE: INEGI. Censo 2000, conteo 2005. CONAPO. Proyección de la población 2005-2050</w:t>
      </w:r>
    </w:p>
    <w:p w:rsidR="00942FB8" w:rsidRDefault="00942FB8" w:rsidP="00942FB8">
      <w:r>
        <w:lastRenderedPageBreak/>
        <w:t xml:space="preserve">Para el año 2040, se espera que 15 localidades </w:t>
      </w:r>
      <w:r w:rsidR="00673E7F">
        <w:t>sean mayor</w:t>
      </w:r>
      <w:r w:rsidR="005544DF">
        <w:t>es a</w:t>
      </w:r>
      <w:r w:rsidR="00673E7F">
        <w:t xml:space="preserve"> 10,000 habitantes (</w:t>
      </w:r>
      <w:r w:rsidR="00BE2961">
        <w:fldChar w:fldCharType="begin"/>
      </w:r>
      <w:r w:rsidR="00673E7F">
        <w:instrText xml:space="preserve"> REF _Ref259987785 \r \h </w:instrText>
      </w:r>
      <w:r w:rsidR="00BE2961">
        <w:fldChar w:fldCharType="separate"/>
      </w:r>
      <w:r w:rsidR="001C36B4">
        <w:t>Tabla 5.5</w:t>
      </w:r>
      <w:r w:rsidR="00BE2961">
        <w:fldChar w:fldCharType="end"/>
      </w:r>
      <w:r w:rsidR="00673E7F">
        <w:t xml:space="preserve"> y </w:t>
      </w:r>
      <w:r w:rsidR="00BE2961">
        <w:fldChar w:fldCharType="begin"/>
      </w:r>
      <w:r w:rsidR="00673E7F">
        <w:instrText xml:space="preserve"> REF _Ref259987799 \r \h </w:instrText>
      </w:r>
      <w:r w:rsidR="00BE2961">
        <w:fldChar w:fldCharType="separate"/>
      </w:r>
      <w:r w:rsidR="001C36B4">
        <w:t>Figura 5.2</w:t>
      </w:r>
      <w:r w:rsidR="00BE2961">
        <w:fldChar w:fldCharType="end"/>
      </w:r>
      <w:r w:rsidR="00673E7F">
        <w:t>).</w:t>
      </w:r>
    </w:p>
    <w:p w:rsidR="009B71C6" w:rsidRDefault="009B71C6" w:rsidP="009B71C6">
      <w:pPr>
        <w:pStyle w:val="Tabla1cap5"/>
      </w:pPr>
      <w:bookmarkStart w:id="34" w:name="_Toc259551979"/>
      <w:bookmarkStart w:id="35" w:name="_Toc259787108"/>
      <w:bookmarkStart w:id="36" w:name="_Ref259987785"/>
      <w:r>
        <w:t xml:space="preserve">Área de estudio. Localidades mayor a 10,000 </w:t>
      </w:r>
      <w:proofErr w:type="spellStart"/>
      <w:r>
        <w:t>Hab.</w:t>
      </w:r>
      <w:proofErr w:type="spellEnd"/>
      <w:r>
        <w:t xml:space="preserve"> en el año 2040</w:t>
      </w:r>
      <w:bookmarkEnd w:id="34"/>
      <w:bookmarkEnd w:id="35"/>
      <w:bookmarkEnd w:id="36"/>
      <w:r>
        <w:t xml:space="preserve"> </w:t>
      </w:r>
    </w:p>
    <w:tbl>
      <w:tblPr>
        <w:tblStyle w:val="Tablabsica1"/>
        <w:tblW w:w="9370" w:type="dxa"/>
        <w:tblLook w:val="04A0"/>
      </w:tblPr>
      <w:tblGrid>
        <w:gridCol w:w="1629"/>
        <w:gridCol w:w="2756"/>
        <w:gridCol w:w="3812"/>
        <w:gridCol w:w="1173"/>
      </w:tblGrid>
      <w:tr w:rsidR="009B71C6" w:rsidRPr="009B71C6" w:rsidTr="009B71C6">
        <w:trPr>
          <w:cnfStyle w:val="100000000000"/>
        </w:trPr>
        <w:tc>
          <w:tcPr>
            <w:tcW w:w="1668" w:type="dxa"/>
          </w:tcPr>
          <w:p w:rsidR="009B71C6" w:rsidRPr="009B71C6" w:rsidRDefault="009B71C6" w:rsidP="009B71C6">
            <w:pPr>
              <w:spacing w:before="0" w:after="0" w:line="240" w:lineRule="auto"/>
              <w:ind w:firstLine="0"/>
              <w:rPr>
                <w:sz w:val="20"/>
              </w:rPr>
            </w:pPr>
            <w:r>
              <w:rPr>
                <w:sz w:val="20"/>
              </w:rPr>
              <w:t>Estado</w:t>
            </w:r>
          </w:p>
        </w:tc>
        <w:tc>
          <w:tcPr>
            <w:tcW w:w="2835" w:type="dxa"/>
          </w:tcPr>
          <w:p w:rsidR="009B71C6" w:rsidRPr="009B71C6" w:rsidRDefault="009B71C6" w:rsidP="009B71C6">
            <w:pPr>
              <w:spacing w:before="0" w:after="0" w:line="240" w:lineRule="auto"/>
              <w:ind w:firstLine="0"/>
              <w:rPr>
                <w:sz w:val="20"/>
              </w:rPr>
            </w:pPr>
            <w:r>
              <w:rPr>
                <w:sz w:val="20"/>
              </w:rPr>
              <w:t>Municipio</w:t>
            </w:r>
          </w:p>
        </w:tc>
        <w:tc>
          <w:tcPr>
            <w:tcW w:w="3969" w:type="dxa"/>
          </w:tcPr>
          <w:p w:rsidR="009B71C6" w:rsidRPr="009B71C6" w:rsidRDefault="009B71C6" w:rsidP="009B71C6">
            <w:pPr>
              <w:spacing w:before="0" w:after="0" w:line="240" w:lineRule="auto"/>
              <w:ind w:firstLine="0"/>
              <w:rPr>
                <w:sz w:val="20"/>
              </w:rPr>
            </w:pPr>
            <w:r>
              <w:rPr>
                <w:sz w:val="20"/>
              </w:rPr>
              <w:t>Localidad</w:t>
            </w:r>
          </w:p>
        </w:tc>
        <w:tc>
          <w:tcPr>
            <w:tcW w:w="898" w:type="dxa"/>
          </w:tcPr>
          <w:p w:rsidR="009B71C6" w:rsidRPr="009B71C6" w:rsidRDefault="009B71C6" w:rsidP="009B71C6">
            <w:pPr>
              <w:spacing w:before="0" w:after="0" w:line="240" w:lineRule="auto"/>
              <w:ind w:firstLine="0"/>
              <w:jc w:val="center"/>
              <w:rPr>
                <w:sz w:val="20"/>
              </w:rPr>
            </w:pPr>
            <w:r>
              <w:rPr>
                <w:sz w:val="20"/>
              </w:rPr>
              <w:t>Habitantes</w:t>
            </w:r>
          </w:p>
        </w:tc>
      </w:tr>
      <w:tr w:rsidR="009B71C6" w:rsidRPr="009B71C6" w:rsidTr="009B71C6">
        <w:tc>
          <w:tcPr>
            <w:tcW w:w="1668" w:type="dxa"/>
          </w:tcPr>
          <w:p w:rsidR="009B71C6" w:rsidRPr="009B71C6" w:rsidRDefault="009B71C6" w:rsidP="00593F70">
            <w:pPr>
              <w:spacing w:before="0" w:after="0" w:line="240" w:lineRule="auto"/>
              <w:ind w:firstLine="0"/>
              <w:rPr>
                <w:sz w:val="20"/>
              </w:rPr>
            </w:pPr>
            <w:r w:rsidRPr="009B71C6">
              <w:rPr>
                <w:sz w:val="20"/>
              </w:rPr>
              <w:t>Puebla</w:t>
            </w:r>
          </w:p>
        </w:tc>
        <w:tc>
          <w:tcPr>
            <w:tcW w:w="2835" w:type="dxa"/>
          </w:tcPr>
          <w:p w:rsidR="009B71C6" w:rsidRPr="009B71C6" w:rsidRDefault="009B71C6" w:rsidP="00593F70">
            <w:pPr>
              <w:spacing w:before="0" w:after="0" w:line="240" w:lineRule="auto"/>
              <w:ind w:firstLine="0"/>
              <w:rPr>
                <w:sz w:val="20"/>
              </w:rPr>
            </w:pPr>
            <w:proofErr w:type="spellStart"/>
            <w:r w:rsidRPr="009B71C6">
              <w:rPr>
                <w:sz w:val="20"/>
              </w:rPr>
              <w:t>Chalchicomula</w:t>
            </w:r>
            <w:proofErr w:type="spellEnd"/>
            <w:r w:rsidRPr="009B71C6">
              <w:rPr>
                <w:sz w:val="20"/>
              </w:rPr>
              <w:t xml:space="preserve"> de Sesma</w:t>
            </w:r>
          </w:p>
        </w:tc>
        <w:tc>
          <w:tcPr>
            <w:tcW w:w="3969" w:type="dxa"/>
          </w:tcPr>
          <w:p w:rsidR="009B71C6" w:rsidRPr="009B71C6" w:rsidRDefault="009B71C6" w:rsidP="00593F70">
            <w:pPr>
              <w:spacing w:before="0" w:after="0" w:line="240" w:lineRule="auto"/>
              <w:ind w:firstLine="0"/>
              <w:rPr>
                <w:sz w:val="20"/>
              </w:rPr>
            </w:pPr>
            <w:r w:rsidRPr="009B71C6">
              <w:rPr>
                <w:sz w:val="20"/>
              </w:rPr>
              <w:t>Ciudad Serdán</w:t>
            </w:r>
          </w:p>
        </w:tc>
        <w:tc>
          <w:tcPr>
            <w:tcW w:w="898" w:type="dxa"/>
          </w:tcPr>
          <w:p w:rsidR="009B71C6" w:rsidRPr="009B71C6" w:rsidRDefault="009B71C6" w:rsidP="009B71C6">
            <w:pPr>
              <w:spacing w:before="0" w:after="0" w:line="240" w:lineRule="auto"/>
              <w:ind w:firstLine="0"/>
              <w:jc w:val="center"/>
              <w:rPr>
                <w:sz w:val="20"/>
              </w:rPr>
            </w:pPr>
            <w:r w:rsidRPr="009B71C6">
              <w:rPr>
                <w:sz w:val="20"/>
              </w:rPr>
              <w:t>20,856</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r w:rsidRPr="009B71C6">
              <w:rPr>
                <w:sz w:val="20"/>
              </w:rPr>
              <w:t>Guadalupe Victoria</w:t>
            </w:r>
          </w:p>
        </w:tc>
        <w:tc>
          <w:tcPr>
            <w:tcW w:w="3969" w:type="dxa"/>
          </w:tcPr>
          <w:p w:rsidR="009B71C6" w:rsidRPr="009B71C6" w:rsidRDefault="009B71C6" w:rsidP="009B71C6">
            <w:pPr>
              <w:spacing w:before="0" w:after="0" w:line="240" w:lineRule="auto"/>
              <w:ind w:firstLine="0"/>
              <w:rPr>
                <w:sz w:val="20"/>
              </w:rPr>
            </w:pPr>
            <w:r w:rsidRPr="009B71C6">
              <w:rPr>
                <w:sz w:val="20"/>
              </w:rPr>
              <w:t>Guadalupe Victoria</w:t>
            </w:r>
          </w:p>
        </w:tc>
        <w:tc>
          <w:tcPr>
            <w:tcW w:w="898" w:type="dxa"/>
          </w:tcPr>
          <w:p w:rsidR="009B71C6" w:rsidRPr="009B71C6" w:rsidRDefault="009B71C6" w:rsidP="009B71C6">
            <w:pPr>
              <w:spacing w:before="0" w:after="0" w:line="240" w:lineRule="auto"/>
              <w:ind w:firstLine="0"/>
              <w:jc w:val="center"/>
              <w:rPr>
                <w:sz w:val="20"/>
              </w:rPr>
            </w:pPr>
            <w:r w:rsidRPr="009B71C6">
              <w:rPr>
                <w:sz w:val="20"/>
              </w:rPr>
              <w:t>10,335</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r w:rsidRPr="009B71C6">
              <w:rPr>
                <w:sz w:val="20"/>
              </w:rPr>
              <w:t>Libres</w:t>
            </w:r>
          </w:p>
        </w:tc>
        <w:tc>
          <w:tcPr>
            <w:tcW w:w="3969" w:type="dxa"/>
          </w:tcPr>
          <w:p w:rsidR="009B71C6" w:rsidRPr="009B71C6" w:rsidRDefault="009B71C6" w:rsidP="009B71C6">
            <w:pPr>
              <w:spacing w:before="0" w:after="0" w:line="240" w:lineRule="auto"/>
              <w:ind w:firstLine="0"/>
              <w:rPr>
                <w:sz w:val="20"/>
              </w:rPr>
            </w:pPr>
            <w:r w:rsidRPr="009B71C6">
              <w:rPr>
                <w:sz w:val="20"/>
              </w:rPr>
              <w:t>Ciudad de Libres</w:t>
            </w:r>
          </w:p>
        </w:tc>
        <w:tc>
          <w:tcPr>
            <w:tcW w:w="898" w:type="dxa"/>
          </w:tcPr>
          <w:p w:rsidR="009B71C6" w:rsidRPr="009B71C6" w:rsidRDefault="009B71C6" w:rsidP="009B71C6">
            <w:pPr>
              <w:spacing w:before="0" w:after="0" w:line="240" w:lineRule="auto"/>
              <w:ind w:firstLine="0"/>
              <w:jc w:val="center"/>
              <w:rPr>
                <w:sz w:val="20"/>
              </w:rPr>
            </w:pPr>
            <w:r w:rsidRPr="009B71C6">
              <w:rPr>
                <w:sz w:val="20"/>
              </w:rPr>
              <w:t>17,971</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proofErr w:type="spellStart"/>
            <w:r w:rsidRPr="009B71C6">
              <w:rPr>
                <w:sz w:val="20"/>
              </w:rPr>
              <w:t>Nopalucan</w:t>
            </w:r>
            <w:proofErr w:type="spellEnd"/>
          </w:p>
        </w:tc>
        <w:tc>
          <w:tcPr>
            <w:tcW w:w="3969" w:type="dxa"/>
          </w:tcPr>
          <w:p w:rsidR="009B71C6" w:rsidRPr="009B71C6" w:rsidRDefault="009B71C6" w:rsidP="009B71C6">
            <w:pPr>
              <w:spacing w:before="0" w:after="0" w:line="240" w:lineRule="auto"/>
              <w:ind w:firstLine="0"/>
              <w:rPr>
                <w:sz w:val="20"/>
              </w:rPr>
            </w:pPr>
            <w:proofErr w:type="spellStart"/>
            <w:r w:rsidRPr="009B71C6">
              <w:rPr>
                <w:sz w:val="20"/>
              </w:rPr>
              <w:t>Nopalucan</w:t>
            </w:r>
            <w:proofErr w:type="spellEnd"/>
            <w:r w:rsidRPr="009B71C6">
              <w:rPr>
                <w:sz w:val="20"/>
              </w:rPr>
              <w:t xml:space="preserve"> de la Granja</w:t>
            </w:r>
          </w:p>
        </w:tc>
        <w:tc>
          <w:tcPr>
            <w:tcW w:w="898" w:type="dxa"/>
          </w:tcPr>
          <w:p w:rsidR="009B71C6" w:rsidRPr="009B71C6" w:rsidRDefault="009B71C6" w:rsidP="009B71C6">
            <w:pPr>
              <w:spacing w:before="0" w:after="0" w:line="240" w:lineRule="auto"/>
              <w:ind w:firstLine="0"/>
              <w:jc w:val="center"/>
              <w:rPr>
                <w:sz w:val="20"/>
              </w:rPr>
            </w:pPr>
            <w:r w:rsidRPr="009B71C6">
              <w:rPr>
                <w:sz w:val="20"/>
              </w:rPr>
              <w:t>15,165</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proofErr w:type="spellStart"/>
            <w:r w:rsidRPr="009B71C6">
              <w:rPr>
                <w:sz w:val="20"/>
              </w:rPr>
              <w:t>Nopalucan</w:t>
            </w:r>
            <w:proofErr w:type="spellEnd"/>
          </w:p>
        </w:tc>
        <w:tc>
          <w:tcPr>
            <w:tcW w:w="3969" w:type="dxa"/>
          </w:tcPr>
          <w:p w:rsidR="009B71C6" w:rsidRPr="009B71C6" w:rsidRDefault="009B71C6" w:rsidP="009B71C6">
            <w:pPr>
              <w:spacing w:before="0" w:after="0" w:line="240" w:lineRule="auto"/>
              <w:ind w:firstLine="0"/>
              <w:rPr>
                <w:sz w:val="20"/>
              </w:rPr>
            </w:pPr>
            <w:r w:rsidRPr="009B71C6">
              <w:rPr>
                <w:sz w:val="20"/>
              </w:rPr>
              <w:t xml:space="preserve">El Rincón </w:t>
            </w:r>
            <w:proofErr w:type="spellStart"/>
            <w:r w:rsidRPr="009B71C6">
              <w:rPr>
                <w:sz w:val="20"/>
              </w:rPr>
              <w:t>Citlaltépetl</w:t>
            </w:r>
            <w:proofErr w:type="spellEnd"/>
          </w:p>
        </w:tc>
        <w:tc>
          <w:tcPr>
            <w:tcW w:w="898" w:type="dxa"/>
          </w:tcPr>
          <w:p w:rsidR="009B71C6" w:rsidRPr="009B71C6" w:rsidRDefault="009B71C6" w:rsidP="009B71C6">
            <w:pPr>
              <w:spacing w:before="0" w:after="0" w:line="240" w:lineRule="auto"/>
              <w:ind w:firstLine="0"/>
              <w:jc w:val="center"/>
              <w:rPr>
                <w:sz w:val="20"/>
              </w:rPr>
            </w:pPr>
            <w:r w:rsidRPr="009B71C6">
              <w:rPr>
                <w:sz w:val="20"/>
              </w:rPr>
              <w:t>11,334</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proofErr w:type="spellStart"/>
            <w:r w:rsidRPr="009B71C6">
              <w:rPr>
                <w:sz w:val="20"/>
              </w:rPr>
              <w:t>Nopalucan</w:t>
            </w:r>
            <w:proofErr w:type="spellEnd"/>
          </w:p>
        </w:tc>
        <w:tc>
          <w:tcPr>
            <w:tcW w:w="3969" w:type="dxa"/>
          </w:tcPr>
          <w:p w:rsidR="009B71C6" w:rsidRPr="009B71C6" w:rsidRDefault="009B71C6" w:rsidP="009B71C6">
            <w:pPr>
              <w:spacing w:before="0" w:after="0" w:line="240" w:lineRule="auto"/>
              <w:ind w:firstLine="0"/>
              <w:rPr>
                <w:sz w:val="20"/>
              </w:rPr>
            </w:pPr>
            <w:r w:rsidRPr="009B71C6">
              <w:rPr>
                <w:sz w:val="20"/>
              </w:rPr>
              <w:t xml:space="preserve">Santa María </w:t>
            </w:r>
            <w:proofErr w:type="spellStart"/>
            <w:r w:rsidRPr="009B71C6">
              <w:rPr>
                <w:sz w:val="20"/>
              </w:rPr>
              <w:t>Ixtiyucan</w:t>
            </w:r>
            <w:proofErr w:type="spellEnd"/>
          </w:p>
        </w:tc>
        <w:tc>
          <w:tcPr>
            <w:tcW w:w="898" w:type="dxa"/>
          </w:tcPr>
          <w:p w:rsidR="009B71C6" w:rsidRPr="009B71C6" w:rsidRDefault="009B71C6" w:rsidP="009B71C6">
            <w:pPr>
              <w:spacing w:before="0" w:after="0" w:line="240" w:lineRule="auto"/>
              <w:ind w:firstLine="0"/>
              <w:jc w:val="center"/>
              <w:rPr>
                <w:sz w:val="20"/>
              </w:rPr>
            </w:pPr>
            <w:r w:rsidRPr="009B71C6">
              <w:rPr>
                <w:sz w:val="20"/>
              </w:rPr>
              <w:t>16,885</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r w:rsidRPr="009B71C6">
              <w:rPr>
                <w:sz w:val="20"/>
              </w:rPr>
              <w:t>Oriental</w:t>
            </w:r>
          </w:p>
        </w:tc>
        <w:tc>
          <w:tcPr>
            <w:tcW w:w="3969" w:type="dxa"/>
          </w:tcPr>
          <w:p w:rsidR="009B71C6" w:rsidRPr="009B71C6" w:rsidRDefault="009B71C6" w:rsidP="009B71C6">
            <w:pPr>
              <w:spacing w:before="0" w:after="0" w:line="240" w:lineRule="auto"/>
              <w:ind w:firstLine="0"/>
              <w:rPr>
                <w:sz w:val="20"/>
              </w:rPr>
            </w:pPr>
            <w:r w:rsidRPr="009B71C6">
              <w:rPr>
                <w:sz w:val="20"/>
              </w:rPr>
              <w:t>Oriental</w:t>
            </w:r>
          </w:p>
        </w:tc>
        <w:tc>
          <w:tcPr>
            <w:tcW w:w="898" w:type="dxa"/>
          </w:tcPr>
          <w:p w:rsidR="009B71C6" w:rsidRPr="009B71C6" w:rsidRDefault="009B71C6" w:rsidP="009B71C6">
            <w:pPr>
              <w:spacing w:before="0" w:after="0" w:line="240" w:lineRule="auto"/>
              <w:ind w:firstLine="0"/>
              <w:jc w:val="center"/>
              <w:rPr>
                <w:sz w:val="20"/>
              </w:rPr>
            </w:pPr>
            <w:r w:rsidRPr="009B71C6">
              <w:rPr>
                <w:sz w:val="20"/>
              </w:rPr>
              <w:t>11,081</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Puebla</w:t>
            </w:r>
          </w:p>
        </w:tc>
        <w:tc>
          <w:tcPr>
            <w:tcW w:w="2835" w:type="dxa"/>
          </w:tcPr>
          <w:p w:rsidR="009B71C6" w:rsidRPr="009B71C6" w:rsidRDefault="009B71C6" w:rsidP="009B71C6">
            <w:pPr>
              <w:spacing w:before="0" w:after="0" w:line="240" w:lineRule="auto"/>
              <w:ind w:firstLine="0"/>
              <w:rPr>
                <w:sz w:val="20"/>
              </w:rPr>
            </w:pPr>
            <w:r w:rsidRPr="009B71C6">
              <w:rPr>
                <w:sz w:val="20"/>
              </w:rPr>
              <w:t>San Salvador el Seco</w:t>
            </w:r>
          </w:p>
        </w:tc>
        <w:tc>
          <w:tcPr>
            <w:tcW w:w="3969" w:type="dxa"/>
          </w:tcPr>
          <w:p w:rsidR="009B71C6" w:rsidRPr="009B71C6" w:rsidRDefault="009B71C6" w:rsidP="009B71C6">
            <w:pPr>
              <w:spacing w:before="0" w:after="0" w:line="240" w:lineRule="auto"/>
              <w:ind w:firstLine="0"/>
              <w:rPr>
                <w:sz w:val="20"/>
              </w:rPr>
            </w:pPr>
            <w:r w:rsidRPr="009B71C6">
              <w:rPr>
                <w:sz w:val="20"/>
              </w:rPr>
              <w:t>San Salvador el Seco</w:t>
            </w:r>
          </w:p>
        </w:tc>
        <w:tc>
          <w:tcPr>
            <w:tcW w:w="898" w:type="dxa"/>
          </w:tcPr>
          <w:p w:rsidR="009B71C6" w:rsidRPr="009B71C6" w:rsidRDefault="009B71C6" w:rsidP="009B71C6">
            <w:pPr>
              <w:spacing w:before="0" w:after="0" w:line="240" w:lineRule="auto"/>
              <w:ind w:firstLine="0"/>
              <w:jc w:val="center"/>
              <w:rPr>
                <w:sz w:val="20"/>
              </w:rPr>
            </w:pPr>
            <w:r w:rsidRPr="009B71C6">
              <w:rPr>
                <w:sz w:val="20"/>
              </w:rPr>
              <w:t>22,882</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Tlaxcala</w:t>
            </w:r>
          </w:p>
        </w:tc>
        <w:tc>
          <w:tcPr>
            <w:tcW w:w="2835" w:type="dxa"/>
          </w:tcPr>
          <w:p w:rsidR="009B71C6" w:rsidRPr="009B71C6" w:rsidRDefault="009B71C6" w:rsidP="009B71C6">
            <w:pPr>
              <w:spacing w:before="0" w:after="0" w:line="240" w:lineRule="auto"/>
              <w:ind w:firstLine="0"/>
              <w:rPr>
                <w:sz w:val="20"/>
              </w:rPr>
            </w:pPr>
            <w:r w:rsidRPr="009B71C6">
              <w:rPr>
                <w:sz w:val="20"/>
              </w:rPr>
              <w:t xml:space="preserve">El Carmen </w:t>
            </w:r>
            <w:proofErr w:type="spellStart"/>
            <w:r w:rsidRPr="009B71C6">
              <w:rPr>
                <w:sz w:val="20"/>
              </w:rPr>
              <w:t>Tequexquitla</w:t>
            </w:r>
            <w:proofErr w:type="spellEnd"/>
          </w:p>
        </w:tc>
        <w:tc>
          <w:tcPr>
            <w:tcW w:w="3969" w:type="dxa"/>
          </w:tcPr>
          <w:p w:rsidR="009B71C6" w:rsidRPr="009B71C6" w:rsidRDefault="009B71C6" w:rsidP="009B71C6">
            <w:pPr>
              <w:spacing w:before="0" w:after="0" w:line="240" w:lineRule="auto"/>
              <w:ind w:firstLine="0"/>
              <w:rPr>
                <w:sz w:val="20"/>
              </w:rPr>
            </w:pPr>
            <w:r w:rsidRPr="009B71C6">
              <w:rPr>
                <w:sz w:val="20"/>
              </w:rPr>
              <w:t xml:space="preserve">Villa de El Carmen </w:t>
            </w:r>
            <w:proofErr w:type="spellStart"/>
            <w:r w:rsidRPr="009B71C6">
              <w:rPr>
                <w:sz w:val="20"/>
              </w:rPr>
              <w:t>Tequexquitla</w:t>
            </w:r>
            <w:proofErr w:type="spellEnd"/>
          </w:p>
        </w:tc>
        <w:tc>
          <w:tcPr>
            <w:tcW w:w="898" w:type="dxa"/>
          </w:tcPr>
          <w:p w:rsidR="009B71C6" w:rsidRPr="009B71C6" w:rsidRDefault="009B71C6" w:rsidP="009B71C6">
            <w:pPr>
              <w:spacing w:before="0" w:after="0" w:line="240" w:lineRule="auto"/>
              <w:ind w:firstLine="0"/>
              <w:jc w:val="center"/>
              <w:rPr>
                <w:sz w:val="20"/>
              </w:rPr>
            </w:pPr>
            <w:r w:rsidRPr="009B71C6">
              <w:rPr>
                <w:sz w:val="20"/>
              </w:rPr>
              <w:t>21,973</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Tlaxcala</w:t>
            </w:r>
          </w:p>
        </w:tc>
        <w:tc>
          <w:tcPr>
            <w:tcW w:w="2835" w:type="dxa"/>
          </w:tcPr>
          <w:p w:rsidR="009B71C6" w:rsidRPr="009B71C6" w:rsidRDefault="009B71C6" w:rsidP="009B71C6">
            <w:pPr>
              <w:spacing w:before="0" w:after="0" w:line="240" w:lineRule="auto"/>
              <w:ind w:firstLine="0"/>
              <w:rPr>
                <w:sz w:val="20"/>
              </w:rPr>
            </w:pPr>
            <w:proofErr w:type="spellStart"/>
            <w:r w:rsidRPr="009B71C6">
              <w:rPr>
                <w:sz w:val="20"/>
              </w:rPr>
              <w:t>Cuapiaxtla</w:t>
            </w:r>
            <w:proofErr w:type="spellEnd"/>
          </w:p>
        </w:tc>
        <w:tc>
          <w:tcPr>
            <w:tcW w:w="3969" w:type="dxa"/>
          </w:tcPr>
          <w:p w:rsidR="009B71C6" w:rsidRPr="009B71C6" w:rsidRDefault="009B71C6" w:rsidP="009B71C6">
            <w:pPr>
              <w:spacing w:before="0" w:after="0" w:line="240" w:lineRule="auto"/>
              <w:ind w:firstLine="0"/>
              <w:rPr>
                <w:sz w:val="20"/>
              </w:rPr>
            </w:pPr>
            <w:proofErr w:type="spellStart"/>
            <w:r w:rsidRPr="009B71C6">
              <w:rPr>
                <w:sz w:val="20"/>
              </w:rPr>
              <w:t>Cuapiaxtla</w:t>
            </w:r>
            <w:proofErr w:type="spellEnd"/>
          </w:p>
        </w:tc>
        <w:tc>
          <w:tcPr>
            <w:tcW w:w="898" w:type="dxa"/>
          </w:tcPr>
          <w:p w:rsidR="009B71C6" w:rsidRPr="009B71C6" w:rsidRDefault="009B71C6" w:rsidP="009B71C6">
            <w:pPr>
              <w:spacing w:before="0" w:after="0" w:line="240" w:lineRule="auto"/>
              <w:ind w:firstLine="0"/>
              <w:jc w:val="center"/>
              <w:rPr>
                <w:sz w:val="20"/>
              </w:rPr>
            </w:pPr>
            <w:r w:rsidRPr="009B71C6">
              <w:rPr>
                <w:sz w:val="20"/>
              </w:rPr>
              <w:t>15,118</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Tlaxcala</w:t>
            </w:r>
          </w:p>
        </w:tc>
        <w:tc>
          <w:tcPr>
            <w:tcW w:w="2835" w:type="dxa"/>
          </w:tcPr>
          <w:p w:rsidR="009B71C6" w:rsidRPr="009B71C6" w:rsidRDefault="009B71C6" w:rsidP="009B71C6">
            <w:pPr>
              <w:spacing w:before="0" w:after="0" w:line="240" w:lineRule="auto"/>
              <w:ind w:firstLine="0"/>
              <w:rPr>
                <w:sz w:val="20"/>
              </w:rPr>
            </w:pPr>
            <w:r w:rsidRPr="009B71C6">
              <w:rPr>
                <w:sz w:val="20"/>
              </w:rPr>
              <w:t>Huamantla</w:t>
            </w:r>
          </w:p>
        </w:tc>
        <w:tc>
          <w:tcPr>
            <w:tcW w:w="3969" w:type="dxa"/>
          </w:tcPr>
          <w:p w:rsidR="009B71C6" w:rsidRPr="009B71C6" w:rsidRDefault="009B71C6" w:rsidP="009B71C6">
            <w:pPr>
              <w:spacing w:before="0" w:after="0" w:line="240" w:lineRule="auto"/>
              <w:ind w:firstLine="0"/>
              <w:rPr>
                <w:sz w:val="20"/>
              </w:rPr>
            </w:pPr>
            <w:r w:rsidRPr="009B71C6">
              <w:rPr>
                <w:sz w:val="20"/>
              </w:rPr>
              <w:t>Huamantla</w:t>
            </w:r>
          </w:p>
        </w:tc>
        <w:tc>
          <w:tcPr>
            <w:tcW w:w="898" w:type="dxa"/>
          </w:tcPr>
          <w:p w:rsidR="009B71C6" w:rsidRPr="009B71C6" w:rsidRDefault="009B71C6" w:rsidP="009B71C6">
            <w:pPr>
              <w:spacing w:before="0" w:after="0" w:line="240" w:lineRule="auto"/>
              <w:ind w:firstLine="0"/>
              <w:jc w:val="center"/>
              <w:rPr>
                <w:sz w:val="20"/>
              </w:rPr>
            </w:pPr>
            <w:r w:rsidRPr="009B71C6">
              <w:rPr>
                <w:sz w:val="20"/>
              </w:rPr>
              <w:t>89,322</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Tlaxcala</w:t>
            </w:r>
          </w:p>
        </w:tc>
        <w:tc>
          <w:tcPr>
            <w:tcW w:w="2835" w:type="dxa"/>
          </w:tcPr>
          <w:p w:rsidR="009B71C6" w:rsidRPr="009B71C6" w:rsidRDefault="009B71C6" w:rsidP="009B71C6">
            <w:pPr>
              <w:spacing w:before="0" w:after="0" w:line="240" w:lineRule="auto"/>
              <w:ind w:firstLine="0"/>
              <w:rPr>
                <w:sz w:val="20"/>
              </w:rPr>
            </w:pPr>
            <w:r w:rsidRPr="009B71C6">
              <w:rPr>
                <w:sz w:val="20"/>
              </w:rPr>
              <w:t>Huamantla</w:t>
            </w:r>
          </w:p>
        </w:tc>
        <w:tc>
          <w:tcPr>
            <w:tcW w:w="3969" w:type="dxa"/>
          </w:tcPr>
          <w:p w:rsidR="009B71C6" w:rsidRPr="009B71C6" w:rsidRDefault="009B71C6" w:rsidP="009B71C6">
            <w:pPr>
              <w:spacing w:before="0" w:after="0" w:line="240" w:lineRule="auto"/>
              <w:ind w:firstLine="0"/>
              <w:rPr>
                <w:sz w:val="20"/>
              </w:rPr>
            </w:pPr>
            <w:r w:rsidRPr="009B71C6">
              <w:rPr>
                <w:sz w:val="20"/>
              </w:rPr>
              <w:t>Ignacio Zaragoza</w:t>
            </w:r>
          </w:p>
        </w:tc>
        <w:tc>
          <w:tcPr>
            <w:tcW w:w="898" w:type="dxa"/>
          </w:tcPr>
          <w:p w:rsidR="009B71C6" w:rsidRPr="009B71C6" w:rsidRDefault="009B71C6" w:rsidP="009B71C6">
            <w:pPr>
              <w:spacing w:before="0" w:after="0" w:line="240" w:lineRule="auto"/>
              <w:ind w:firstLine="0"/>
              <w:jc w:val="center"/>
              <w:rPr>
                <w:sz w:val="20"/>
              </w:rPr>
            </w:pPr>
            <w:r w:rsidRPr="009B71C6">
              <w:rPr>
                <w:sz w:val="20"/>
              </w:rPr>
              <w:t>11,684</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 xml:space="preserve">Veracruz </w:t>
            </w:r>
          </w:p>
        </w:tc>
        <w:tc>
          <w:tcPr>
            <w:tcW w:w="2835" w:type="dxa"/>
          </w:tcPr>
          <w:p w:rsidR="009B71C6" w:rsidRPr="009B71C6" w:rsidRDefault="009B71C6" w:rsidP="009B71C6">
            <w:pPr>
              <w:spacing w:before="0" w:after="0" w:line="240" w:lineRule="auto"/>
              <w:ind w:firstLine="0"/>
              <w:rPr>
                <w:sz w:val="20"/>
              </w:rPr>
            </w:pPr>
            <w:proofErr w:type="spellStart"/>
            <w:r w:rsidRPr="009B71C6">
              <w:rPr>
                <w:sz w:val="20"/>
              </w:rPr>
              <w:t>Altotonga</w:t>
            </w:r>
            <w:proofErr w:type="spellEnd"/>
          </w:p>
        </w:tc>
        <w:tc>
          <w:tcPr>
            <w:tcW w:w="3969" w:type="dxa"/>
          </w:tcPr>
          <w:p w:rsidR="009B71C6" w:rsidRPr="009B71C6" w:rsidRDefault="009B71C6" w:rsidP="009B71C6">
            <w:pPr>
              <w:spacing w:before="0" w:after="0" w:line="240" w:lineRule="auto"/>
              <w:ind w:firstLine="0"/>
              <w:rPr>
                <w:sz w:val="20"/>
              </w:rPr>
            </w:pPr>
            <w:proofErr w:type="spellStart"/>
            <w:r w:rsidRPr="009B71C6">
              <w:rPr>
                <w:sz w:val="20"/>
              </w:rPr>
              <w:t>Altotonga</w:t>
            </w:r>
            <w:proofErr w:type="spellEnd"/>
          </w:p>
        </w:tc>
        <w:tc>
          <w:tcPr>
            <w:tcW w:w="898" w:type="dxa"/>
          </w:tcPr>
          <w:p w:rsidR="009B71C6" w:rsidRPr="009B71C6" w:rsidRDefault="009B71C6" w:rsidP="009B71C6">
            <w:pPr>
              <w:spacing w:before="0" w:after="0" w:line="240" w:lineRule="auto"/>
              <w:ind w:firstLine="0"/>
              <w:jc w:val="center"/>
              <w:rPr>
                <w:sz w:val="20"/>
              </w:rPr>
            </w:pPr>
            <w:r w:rsidRPr="009B71C6">
              <w:rPr>
                <w:sz w:val="20"/>
              </w:rPr>
              <w:t>27,298</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 xml:space="preserve">Veracruz </w:t>
            </w:r>
          </w:p>
        </w:tc>
        <w:tc>
          <w:tcPr>
            <w:tcW w:w="2835" w:type="dxa"/>
          </w:tcPr>
          <w:p w:rsidR="009B71C6" w:rsidRPr="009B71C6" w:rsidRDefault="009B71C6" w:rsidP="009B71C6">
            <w:pPr>
              <w:spacing w:before="0" w:after="0" w:line="240" w:lineRule="auto"/>
              <w:ind w:firstLine="0"/>
              <w:rPr>
                <w:sz w:val="20"/>
              </w:rPr>
            </w:pPr>
            <w:proofErr w:type="spellStart"/>
            <w:r w:rsidRPr="009B71C6">
              <w:rPr>
                <w:sz w:val="20"/>
              </w:rPr>
              <w:t>Jalacingo</w:t>
            </w:r>
            <w:proofErr w:type="spellEnd"/>
          </w:p>
        </w:tc>
        <w:tc>
          <w:tcPr>
            <w:tcW w:w="3969" w:type="dxa"/>
          </w:tcPr>
          <w:p w:rsidR="009B71C6" w:rsidRPr="009B71C6" w:rsidRDefault="009B71C6" w:rsidP="009B71C6">
            <w:pPr>
              <w:spacing w:before="0" w:after="0" w:line="240" w:lineRule="auto"/>
              <w:ind w:firstLine="0"/>
              <w:rPr>
                <w:sz w:val="20"/>
              </w:rPr>
            </w:pPr>
            <w:proofErr w:type="spellStart"/>
            <w:r w:rsidRPr="009B71C6">
              <w:rPr>
                <w:sz w:val="20"/>
              </w:rPr>
              <w:t>Jalacingo</w:t>
            </w:r>
            <w:proofErr w:type="spellEnd"/>
          </w:p>
        </w:tc>
        <w:tc>
          <w:tcPr>
            <w:tcW w:w="898" w:type="dxa"/>
          </w:tcPr>
          <w:p w:rsidR="009B71C6" w:rsidRPr="009B71C6" w:rsidRDefault="009B71C6" w:rsidP="009B71C6">
            <w:pPr>
              <w:spacing w:before="0" w:after="0" w:line="240" w:lineRule="auto"/>
              <w:ind w:firstLine="0"/>
              <w:jc w:val="center"/>
              <w:rPr>
                <w:sz w:val="20"/>
              </w:rPr>
            </w:pPr>
            <w:r w:rsidRPr="009B71C6">
              <w:rPr>
                <w:sz w:val="20"/>
              </w:rPr>
              <w:t>23,330</w:t>
            </w:r>
          </w:p>
        </w:tc>
      </w:tr>
      <w:tr w:rsidR="009B71C6" w:rsidRPr="009B71C6" w:rsidTr="009B71C6">
        <w:tc>
          <w:tcPr>
            <w:tcW w:w="1668" w:type="dxa"/>
          </w:tcPr>
          <w:p w:rsidR="009B71C6" w:rsidRPr="009B71C6" w:rsidRDefault="009B71C6" w:rsidP="009B71C6">
            <w:pPr>
              <w:spacing w:before="0" w:after="0" w:line="240" w:lineRule="auto"/>
              <w:ind w:firstLine="0"/>
              <w:rPr>
                <w:sz w:val="20"/>
              </w:rPr>
            </w:pPr>
            <w:r w:rsidRPr="009B71C6">
              <w:rPr>
                <w:sz w:val="20"/>
              </w:rPr>
              <w:t xml:space="preserve">Veracruz </w:t>
            </w:r>
          </w:p>
        </w:tc>
        <w:tc>
          <w:tcPr>
            <w:tcW w:w="2835" w:type="dxa"/>
          </w:tcPr>
          <w:p w:rsidR="009B71C6" w:rsidRPr="009B71C6" w:rsidRDefault="009B71C6" w:rsidP="009B71C6">
            <w:pPr>
              <w:spacing w:before="0" w:after="0" w:line="240" w:lineRule="auto"/>
              <w:ind w:firstLine="0"/>
              <w:rPr>
                <w:sz w:val="20"/>
              </w:rPr>
            </w:pPr>
            <w:r w:rsidRPr="009B71C6">
              <w:rPr>
                <w:sz w:val="20"/>
              </w:rPr>
              <w:t>Perote</w:t>
            </w:r>
          </w:p>
        </w:tc>
        <w:tc>
          <w:tcPr>
            <w:tcW w:w="3969" w:type="dxa"/>
          </w:tcPr>
          <w:p w:rsidR="009B71C6" w:rsidRPr="009B71C6" w:rsidRDefault="009B71C6" w:rsidP="009B71C6">
            <w:pPr>
              <w:spacing w:before="0" w:after="0" w:line="240" w:lineRule="auto"/>
              <w:ind w:firstLine="0"/>
              <w:rPr>
                <w:sz w:val="20"/>
              </w:rPr>
            </w:pPr>
            <w:r w:rsidRPr="009B71C6">
              <w:rPr>
                <w:sz w:val="20"/>
              </w:rPr>
              <w:t>Perote</w:t>
            </w:r>
          </w:p>
        </w:tc>
        <w:tc>
          <w:tcPr>
            <w:tcW w:w="898" w:type="dxa"/>
          </w:tcPr>
          <w:p w:rsidR="009B71C6" w:rsidRPr="009B71C6" w:rsidRDefault="009B71C6" w:rsidP="009B71C6">
            <w:pPr>
              <w:spacing w:before="0" w:after="0" w:line="240" w:lineRule="auto"/>
              <w:ind w:firstLine="0"/>
              <w:jc w:val="center"/>
              <w:rPr>
                <w:sz w:val="20"/>
              </w:rPr>
            </w:pPr>
            <w:r w:rsidRPr="009B71C6">
              <w:rPr>
                <w:sz w:val="20"/>
              </w:rPr>
              <w:t>61,200</w:t>
            </w:r>
          </w:p>
        </w:tc>
      </w:tr>
    </w:tbl>
    <w:p w:rsidR="009B71C6" w:rsidRPr="00AA10EB" w:rsidRDefault="009B71C6" w:rsidP="009B71C6">
      <w:pPr>
        <w:pStyle w:val="Fuente"/>
      </w:pPr>
      <w:r>
        <w:t>FUENTE: INEGI. Censo 2000, conteo 2005. CONAPO. Proyección de la población 2005-2050</w:t>
      </w:r>
    </w:p>
    <w:p w:rsidR="006C6266" w:rsidRPr="008D005D" w:rsidRDefault="00CC16AF" w:rsidP="00BE5C38">
      <w:pPr>
        <w:pStyle w:val="figura1cap5"/>
      </w:pPr>
      <w:bookmarkStart w:id="37" w:name="_Ref259987799"/>
      <w:r>
        <w:t xml:space="preserve">Área de estudio. </w:t>
      </w:r>
      <w:r w:rsidR="006C6266">
        <w:t>Población futura en el acuífero HLOP</w:t>
      </w:r>
      <w:bookmarkEnd w:id="37"/>
    </w:p>
    <w:p w:rsidR="00277127" w:rsidRDefault="008011C2" w:rsidP="006C6266">
      <w:pPr>
        <w:ind w:firstLine="0"/>
        <w:jc w:val="center"/>
      </w:pPr>
      <w:r>
        <w:rPr>
          <w:noProof/>
          <w:lang w:eastAsia="es-MX"/>
        </w:rPr>
        <w:drawing>
          <wp:inline distT="0" distB="0" distL="0" distR="0">
            <wp:extent cx="5828649" cy="4405014"/>
            <wp:effectExtent l="19050" t="0" r="651" b="0"/>
            <wp:docPr id="9" name="Imagen 9" descr="poblacion fu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blacion futura"/>
                    <pic:cNvPicPr>
                      <a:picLocks noChangeAspect="1" noChangeArrowheads="1"/>
                    </pic:cNvPicPr>
                  </pic:nvPicPr>
                  <pic:blipFill>
                    <a:blip r:embed="rId20" cstate="print"/>
                    <a:srcRect l="4547" t="4901" r="4344" b="5635"/>
                    <a:stretch>
                      <a:fillRect/>
                    </a:stretch>
                  </pic:blipFill>
                  <pic:spPr bwMode="auto">
                    <a:xfrm>
                      <a:off x="0" y="0"/>
                      <a:ext cx="5837930" cy="4412028"/>
                    </a:xfrm>
                    <a:prstGeom prst="rect">
                      <a:avLst/>
                    </a:prstGeom>
                    <a:noFill/>
                    <a:ln w="9525">
                      <a:noFill/>
                      <a:miter lim="800000"/>
                      <a:headEnd/>
                      <a:tailEnd/>
                    </a:ln>
                  </pic:spPr>
                </pic:pic>
              </a:graphicData>
            </a:graphic>
          </wp:inline>
        </w:drawing>
      </w:r>
    </w:p>
    <w:p w:rsidR="005544DF" w:rsidRPr="00B411AC" w:rsidRDefault="005544DF" w:rsidP="008011C2">
      <w:pPr>
        <w:outlineLvl w:val="0"/>
        <w:rPr>
          <w:rFonts w:ascii="Arial Rounded MT Bold" w:hAnsi="Arial Rounded MT Bold"/>
          <w:smallCaps/>
          <w:sz w:val="24"/>
          <w:szCs w:val="24"/>
        </w:rPr>
      </w:pPr>
      <w:r w:rsidRPr="00B411AC">
        <w:rPr>
          <w:rFonts w:ascii="Arial Rounded MT Bold" w:hAnsi="Arial Rounded MT Bold"/>
          <w:smallCaps/>
          <w:sz w:val="24"/>
          <w:szCs w:val="24"/>
        </w:rPr>
        <w:lastRenderedPageBreak/>
        <w:t>Indicadores sociales</w:t>
      </w:r>
      <w:r w:rsidR="005E6F69" w:rsidRPr="00B411AC">
        <w:rPr>
          <w:rFonts w:ascii="Arial Rounded MT Bold" w:hAnsi="Arial Rounded MT Bold"/>
          <w:smallCaps/>
          <w:sz w:val="24"/>
          <w:szCs w:val="24"/>
        </w:rPr>
        <w:t xml:space="preserve">  </w:t>
      </w:r>
    </w:p>
    <w:p w:rsidR="005544DF" w:rsidRDefault="005544DF" w:rsidP="000574FF">
      <w:r w:rsidRPr="008765F2">
        <w:rPr>
          <w:rFonts w:eastAsia="Calibri"/>
          <w:szCs w:val="22"/>
        </w:rPr>
        <w:t>De acuerdo a los indicadores socioeconómicos e índice de marginación municipal, publicado por el Consejo Nacional de Población (CONAPO) el área de estudio tiene un mejor nivel de vida que cada uno de  los estados de los que forman parte.</w:t>
      </w:r>
    </w:p>
    <w:p w:rsidR="005544DF" w:rsidRDefault="005544DF" w:rsidP="005544DF">
      <w:pPr>
        <w:pStyle w:val="Grafica1cap5"/>
      </w:pPr>
      <w:r>
        <w:t>Índice de marginalidad</w:t>
      </w:r>
    </w:p>
    <w:p w:rsidR="005544DF" w:rsidRDefault="008011C2" w:rsidP="005544DF">
      <w:pPr>
        <w:jc w:val="center"/>
      </w:pPr>
      <w:r>
        <w:rPr>
          <w:rFonts w:eastAsia="Calibri"/>
          <w:noProof/>
          <w:szCs w:val="22"/>
          <w:lang w:eastAsia="es-MX"/>
        </w:rPr>
        <w:drawing>
          <wp:inline distT="0" distB="0" distL="0" distR="0">
            <wp:extent cx="4131562" cy="2303813"/>
            <wp:effectExtent l="0" t="0" r="2288"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4138503" cy="2307683"/>
                    </a:xfrm>
                    <a:prstGeom prst="rect">
                      <a:avLst/>
                    </a:prstGeom>
                    <a:noFill/>
                    <a:ln w="9525">
                      <a:noFill/>
                      <a:miter lim="800000"/>
                      <a:headEnd/>
                      <a:tailEnd/>
                    </a:ln>
                  </pic:spPr>
                </pic:pic>
              </a:graphicData>
            </a:graphic>
          </wp:inline>
        </w:drawing>
      </w:r>
    </w:p>
    <w:p w:rsidR="005544DF" w:rsidRDefault="005544DF" w:rsidP="00B411AC">
      <w:pPr>
        <w:ind w:left="709" w:firstLine="0"/>
        <w:jc w:val="center"/>
        <w:outlineLvl w:val="0"/>
      </w:pPr>
      <w:r>
        <w:rPr>
          <w:rFonts w:eastAsia="Calibri"/>
          <w:sz w:val="18"/>
          <w:szCs w:val="18"/>
        </w:rPr>
        <w:t>Fuente</w:t>
      </w:r>
      <w:r w:rsidRPr="008765F2">
        <w:rPr>
          <w:rFonts w:eastAsia="Calibri"/>
          <w:sz w:val="18"/>
          <w:szCs w:val="18"/>
        </w:rPr>
        <w:t>: CONAPO 2005</w:t>
      </w:r>
    </w:p>
    <w:p w:rsidR="005544DF" w:rsidRDefault="005544DF" w:rsidP="000574FF">
      <w:r w:rsidRPr="00521ABA">
        <w:t xml:space="preserve">De acuerdo a la información reportada por INEGI las viviendas censadas con agua potable con respecto a las totales ha tenido un incremento del </w:t>
      </w:r>
      <w:r>
        <w:t>84.3</w:t>
      </w:r>
      <w:r w:rsidRPr="00521ABA">
        <w:t xml:space="preserve">% al </w:t>
      </w:r>
      <w:r>
        <w:t>92.5%</w:t>
      </w:r>
      <w:r w:rsidRPr="00521ABA">
        <w:t>.</w:t>
      </w:r>
      <w:r>
        <w:t xml:space="preserve"> Según INEGI las viviendas censadas con servicio de alcantarillado con respecto a las totales ha tenido un incremento del 50.0% al 66.3%. El servicio eléctrico proporcionado por CFE reporta una cobertura del 96.1%.</w:t>
      </w:r>
    </w:p>
    <w:p w:rsidR="005544DF" w:rsidRDefault="005544DF" w:rsidP="005544DF">
      <w:pPr>
        <w:pStyle w:val="Tabla1cap5"/>
      </w:pPr>
      <w:r>
        <w:t>Nivel de servicios en el área de estudio</w:t>
      </w:r>
    </w:p>
    <w:tbl>
      <w:tblPr>
        <w:tblW w:w="10031" w:type="dxa"/>
        <w:tblBorders>
          <w:top w:val="single" w:sz="12" w:space="0" w:color="008000"/>
          <w:bottom w:val="single" w:sz="12" w:space="0" w:color="008000"/>
        </w:tblBorders>
        <w:tblLook w:val="04A0"/>
      </w:tblPr>
      <w:tblGrid>
        <w:gridCol w:w="2943"/>
        <w:gridCol w:w="1276"/>
        <w:gridCol w:w="1184"/>
        <w:gridCol w:w="1084"/>
        <w:gridCol w:w="1134"/>
        <w:gridCol w:w="1276"/>
        <w:gridCol w:w="1134"/>
      </w:tblGrid>
      <w:tr w:rsidR="005544DF" w:rsidRPr="001313B7" w:rsidTr="003C7F1A">
        <w:trPr>
          <w:trHeight w:val="112"/>
        </w:trPr>
        <w:tc>
          <w:tcPr>
            <w:tcW w:w="2943" w:type="dxa"/>
            <w:vMerge w:val="restart"/>
            <w:tcBorders>
              <w:bottom w:val="single" w:sz="6" w:space="0" w:color="008000"/>
            </w:tcBorders>
            <w:shd w:val="clear" w:color="auto" w:fill="auto"/>
          </w:tcPr>
          <w:p w:rsidR="005544DF" w:rsidRPr="001313B7" w:rsidRDefault="005544DF" w:rsidP="003C7F1A">
            <w:pPr>
              <w:spacing w:before="0" w:after="0" w:line="240" w:lineRule="auto"/>
              <w:ind w:firstLine="0"/>
              <w:rPr>
                <w:sz w:val="20"/>
              </w:rPr>
            </w:pPr>
            <w:r w:rsidRPr="001313B7">
              <w:rPr>
                <w:sz w:val="20"/>
              </w:rPr>
              <w:t>INDICADORES</w:t>
            </w:r>
          </w:p>
        </w:tc>
        <w:tc>
          <w:tcPr>
            <w:tcW w:w="2460" w:type="dxa"/>
            <w:gridSpan w:val="2"/>
            <w:tcBorders>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Huamantla</w:t>
            </w:r>
          </w:p>
        </w:tc>
        <w:tc>
          <w:tcPr>
            <w:tcW w:w="2218" w:type="dxa"/>
            <w:gridSpan w:val="2"/>
            <w:tcBorders>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Libres</w:t>
            </w:r>
          </w:p>
        </w:tc>
        <w:tc>
          <w:tcPr>
            <w:tcW w:w="2410" w:type="dxa"/>
            <w:gridSpan w:val="2"/>
            <w:tcBorders>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Perote</w:t>
            </w:r>
          </w:p>
        </w:tc>
      </w:tr>
      <w:tr w:rsidR="005544DF" w:rsidRPr="001313B7" w:rsidTr="003C7F1A">
        <w:tc>
          <w:tcPr>
            <w:tcW w:w="2943" w:type="dxa"/>
            <w:vMerge/>
            <w:tcBorders>
              <w:bottom w:val="single" w:sz="6" w:space="0" w:color="008000"/>
            </w:tcBorders>
            <w:shd w:val="clear" w:color="auto" w:fill="auto"/>
          </w:tcPr>
          <w:p w:rsidR="005544DF" w:rsidRPr="001313B7" w:rsidRDefault="005544DF" w:rsidP="003C7F1A">
            <w:pPr>
              <w:spacing w:before="0" w:after="0" w:line="240" w:lineRule="auto"/>
              <w:ind w:firstLine="0"/>
              <w:rPr>
                <w:sz w:val="20"/>
              </w:rPr>
            </w:pPr>
          </w:p>
        </w:tc>
        <w:tc>
          <w:tcPr>
            <w:tcW w:w="1276" w:type="dxa"/>
            <w:tcBorders>
              <w:top w:val="single" w:sz="6" w:space="0" w:color="008000"/>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2000</w:t>
            </w:r>
          </w:p>
        </w:tc>
        <w:tc>
          <w:tcPr>
            <w:tcW w:w="1184" w:type="dxa"/>
            <w:tcBorders>
              <w:top w:val="single" w:sz="6" w:space="0" w:color="008000"/>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2005</w:t>
            </w:r>
          </w:p>
        </w:tc>
        <w:tc>
          <w:tcPr>
            <w:tcW w:w="1084" w:type="dxa"/>
            <w:tcBorders>
              <w:top w:val="single" w:sz="6" w:space="0" w:color="008000"/>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2000</w:t>
            </w:r>
          </w:p>
        </w:tc>
        <w:tc>
          <w:tcPr>
            <w:tcW w:w="1134" w:type="dxa"/>
            <w:tcBorders>
              <w:top w:val="single" w:sz="6" w:space="0" w:color="008000"/>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2005</w:t>
            </w:r>
          </w:p>
        </w:tc>
        <w:tc>
          <w:tcPr>
            <w:tcW w:w="1276" w:type="dxa"/>
            <w:tcBorders>
              <w:top w:val="single" w:sz="6" w:space="0" w:color="008000"/>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2000</w:t>
            </w:r>
          </w:p>
        </w:tc>
        <w:tc>
          <w:tcPr>
            <w:tcW w:w="1134" w:type="dxa"/>
            <w:tcBorders>
              <w:top w:val="single" w:sz="6" w:space="0" w:color="008000"/>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2005</w:t>
            </w:r>
          </w:p>
        </w:tc>
      </w:tr>
      <w:tr w:rsidR="005544DF" w:rsidRPr="001313B7" w:rsidTr="003C7F1A">
        <w:tc>
          <w:tcPr>
            <w:tcW w:w="2943" w:type="dxa"/>
            <w:tcBorders>
              <w:top w:val="single" w:sz="6" w:space="0" w:color="008000"/>
            </w:tcBorders>
            <w:shd w:val="clear" w:color="auto" w:fill="auto"/>
          </w:tcPr>
          <w:p w:rsidR="005544DF" w:rsidRPr="001313B7" w:rsidRDefault="005544DF" w:rsidP="003C7F1A">
            <w:pPr>
              <w:spacing w:before="0" w:after="0" w:line="240" w:lineRule="auto"/>
              <w:ind w:firstLine="0"/>
              <w:rPr>
                <w:sz w:val="20"/>
              </w:rPr>
            </w:pPr>
            <w:r w:rsidRPr="001313B7">
              <w:rPr>
                <w:sz w:val="20"/>
              </w:rPr>
              <w:t>POBLACION</w:t>
            </w:r>
          </w:p>
        </w:tc>
        <w:tc>
          <w:tcPr>
            <w:tcW w:w="1276"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124,874</w:t>
            </w:r>
          </w:p>
        </w:tc>
        <w:tc>
          <w:tcPr>
            <w:tcW w:w="118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143,924</w:t>
            </w:r>
          </w:p>
        </w:tc>
        <w:tc>
          <w:tcPr>
            <w:tcW w:w="108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304,784</w:t>
            </w:r>
          </w:p>
        </w:tc>
        <w:tc>
          <w:tcPr>
            <w:tcW w:w="113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324,069</w:t>
            </w:r>
          </w:p>
        </w:tc>
        <w:tc>
          <w:tcPr>
            <w:tcW w:w="1276"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141,273</w:t>
            </w:r>
          </w:p>
        </w:tc>
        <w:tc>
          <w:tcPr>
            <w:tcW w:w="113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159,579</w:t>
            </w:r>
          </w:p>
        </w:tc>
      </w:tr>
      <w:tr w:rsidR="005544DF" w:rsidRPr="001313B7" w:rsidTr="003C7F1A">
        <w:tc>
          <w:tcPr>
            <w:tcW w:w="2943" w:type="dxa"/>
            <w:shd w:val="clear" w:color="auto" w:fill="auto"/>
          </w:tcPr>
          <w:p w:rsidR="005544DF" w:rsidRPr="001313B7" w:rsidRDefault="005544DF" w:rsidP="003C7F1A">
            <w:pPr>
              <w:spacing w:before="0" w:after="0" w:line="240" w:lineRule="auto"/>
              <w:ind w:firstLine="0"/>
              <w:rPr>
                <w:sz w:val="20"/>
              </w:rPr>
            </w:pPr>
            <w:r w:rsidRPr="001313B7">
              <w:rPr>
                <w:sz w:val="20"/>
              </w:rPr>
              <w:t>VIVIENDAS TOTALES</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23,318</w:t>
            </w:r>
          </w:p>
        </w:tc>
        <w:tc>
          <w:tcPr>
            <w:tcW w:w="11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29,942</w:t>
            </w:r>
          </w:p>
        </w:tc>
        <w:tc>
          <w:tcPr>
            <w:tcW w:w="10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55,452</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64,467</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27,875</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33,317</w:t>
            </w:r>
          </w:p>
        </w:tc>
      </w:tr>
      <w:tr w:rsidR="005544DF" w:rsidRPr="001313B7" w:rsidTr="003C7F1A">
        <w:tc>
          <w:tcPr>
            <w:tcW w:w="2943" w:type="dxa"/>
            <w:shd w:val="clear" w:color="auto" w:fill="auto"/>
          </w:tcPr>
          <w:p w:rsidR="005544DF" w:rsidRPr="001313B7" w:rsidRDefault="005544DF" w:rsidP="003C7F1A">
            <w:pPr>
              <w:spacing w:before="0" w:after="0" w:line="240" w:lineRule="auto"/>
              <w:ind w:firstLine="0"/>
              <w:rPr>
                <w:sz w:val="20"/>
              </w:rPr>
            </w:pPr>
            <w:r w:rsidRPr="001313B7">
              <w:rPr>
                <w:sz w:val="20"/>
              </w:rPr>
              <w:t>VIVIENDAS AP</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21,163</w:t>
            </w:r>
          </w:p>
        </w:tc>
        <w:tc>
          <w:tcPr>
            <w:tcW w:w="11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27,942</w:t>
            </w:r>
          </w:p>
        </w:tc>
        <w:tc>
          <w:tcPr>
            <w:tcW w:w="10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45,198</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56,831</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23,561</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33,317</w:t>
            </w:r>
          </w:p>
        </w:tc>
      </w:tr>
      <w:tr w:rsidR="005544DF" w:rsidRPr="001313B7" w:rsidTr="003C7F1A">
        <w:tc>
          <w:tcPr>
            <w:tcW w:w="2943" w:type="dxa"/>
            <w:tcBorders>
              <w:bottom w:val="nil"/>
            </w:tcBorders>
            <w:shd w:val="clear" w:color="auto" w:fill="auto"/>
          </w:tcPr>
          <w:p w:rsidR="005544DF" w:rsidRPr="001313B7" w:rsidRDefault="005544DF" w:rsidP="003C7F1A">
            <w:pPr>
              <w:spacing w:before="0" w:after="0" w:line="240" w:lineRule="auto"/>
              <w:ind w:firstLine="0"/>
              <w:rPr>
                <w:sz w:val="20"/>
              </w:rPr>
            </w:pPr>
            <w:r w:rsidRPr="001313B7">
              <w:rPr>
                <w:sz w:val="20"/>
              </w:rPr>
              <w:t>VIVIVENDAS ALC</w:t>
            </w:r>
          </w:p>
        </w:tc>
        <w:tc>
          <w:tcPr>
            <w:tcW w:w="1276" w:type="dxa"/>
            <w:tcBorders>
              <w:bottom w:val="nil"/>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17,012</w:t>
            </w:r>
          </w:p>
        </w:tc>
        <w:tc>
          <w:tcPr>
            <w:tcW w:w="1184" w:type="dxa"/>
            <w:tcBorders>
              <w:bottom w:val="nil"/>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24,831</w:t>
            </w:r>
          </w:p>
        </w:tc>
        <w:tc>
          <w:tcPr>
            <w:tcW w:w="1084" w:type="dxa"/>
            <w:tcBorders>
              <w:bottom w:val="nil"/>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21,583</w:t>
            </w:r>
          </w:p>
        </w:tc>
        <w:tc>
          <w:tcPr>
            <w:tcW w:w="1134" w:type="dxa"/>
            <w:tcBorders>
              <w:bottom w:val="nil"/>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36,698</w:t>
            </w:r>
          </w:p>
        </w:tc>
        <w:tc>
          <w:tcPr>
            <w:tcW w:w="1276" w:type="dxa"/>
            <w:tcBorders>
              <w:bottom w:val="nil"/>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14,963</w:t>
            </w:r>
          </w:p>
        </w:tc>
        <w:tc>
          <w:tcPr>
            <w:tcW w:w="1134" w:type="dxa"/>
            <w:tcBorders>
              <w:bottom w:val="nil"/>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23,097</w:t>
            </w:r>
          </w:p>
        </w:tc>
      </w:tr>
      <w:tr w:rsidR="005544DF" w:rsidRPr="001313B7" w:rsidTr="003C7F1A">
        <w:tc>
          <w:tcPr>
            <w:tcW w:w="2943" w:type="dxa"/>
            <w:tcBorders>
              <w:top w:val="nil"/>
              <w:bottom w:val="single" w:sz="6" w:space="0" w:color="008000"/>
            </w:tcBorders>
            <w:shd w:val="clear" w:color="auto" w:fill="auto"/>
          </w:tcPr>
          <w:p w:rsidR="005544DF" w:rsidRPr="001313B7" w:rsidRDefault="005544DF" w:rsidP="003C7F1A">
            <w:pPr>
              <w:spacing w:before="0" w:after="0" w:line="240" w:lineRule="auto"/>
              <w:ind w:firstLine="0"/>
              <w:rPr>
                <w:sz w:val="20"/>
              </w:rPr>
            </w:pPr>
            <w:r w:rsidRPr="001313B7">
              <w:rPr>
                <w:sz w:val="20"/>
              </w:rPr>
              <w:t>VIVIENDAS ELEC</w:t>
            </w:r>
          </w:p>
        </w:tc>
        <w:tc>
          <w:tcPr>
            <w:tcW w:w="1276" w:type="dxa"/>
            <w:tcBorders>
              <w:top w:val="nil"/>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22,144</w:t>
            </w:r>
          </w:p>
        </w:tc>
        <w:tc>
          <w:tcPr>
            <w:tcW w:w="1184" w:type="dxa"/>
            <w:tcBorders>
              <w:top w:val="nil"/>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28,850</w:t>
            </w:r>
          </w:p>
        </w:tc>
        <w:tc>
          <w:tcPr>
            <w:tcW w:w="1084" w:type="dxa"/>
            <w:tcBorders>
              <w:top w:val="nil"/>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53,251</w:t>
            </w:r>
          </w:p>
        </w:tc>
        <w:tc>
          <w:tcPr>
            <w:tcW w:w="1134" w:type="dxa"/>
            <w:tcBorders>
              <w:top w:val="nil"/>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62,199</w:t>
            </w:r>
          </w:p>
        </w:tc>
        <w:tc>
          <w:tcPr>
            <w:tcW w:w="1276" w:type="dxa"/>
            <w:tcBorders>
              <w:top w:val="nil"/>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25,570</w:t>
            </w:r>
          </w:p>
        </w:tc>
        <w:tc>
          <w:tcPr>
            <w:tcW w:w="1134" w:type="dxa"/>
            <w:tcBorders>
              <w:top w:val="nil"/>
              <w:bottom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31,637</w:t>
            </w:r>
          </w:p>
        </w:tc>
      </w:tr>
      <w:tr w:rsidR="005544DF" w:rsidRPr="001313B7" w:rsidTr="003C7F1A">
        <w:tc>
          <w:tcPr>
            <w:tcW w:w="2943" w:type="dxa"/>
            <w:tcBorders>
              <w:top w:val="single" w:sz="6" w:space="0" w:color="008000"/>
            </w:tcBorders>
            <w:shd w:val="clear" w:color="auto" w:fill="auto"/>
          </w:tcPr>
          <w:p w:rsidR="005544DF" w:rsidRPr="001313B7" w:rsidRDefault="005544DF" w:rsidP="003C7F1A">
            <w:pPr>
              <w:spacing w:before="0" w:after="0" w:line="240" w:lineRule="auto"/>
              <w:ind w:firstLine="0"/>
              <w:rPr>
                <w:sz w:val="20"/>
              </w:rPr>
            </w:pPr>
            <w:r w:rsidRPr="001313B7">
              <w:rPr>
                <w:sz w:val="20"/>
              </w:rPr>
              <w:t>IH</w:t>
            </w:r>
          </w:p>
        </w:tc>
        <w:tc>
          <w:tcPr>
            <w:tcW w:w="1276"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5.36</w:t>
            </w:r>
          </w:p>
        </w:tc>
        <w:tc>
          <w:tcPr>
            <w:tcW w:w="118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4.81</w:t>
            </w:r>
          </w:p>
        </w:tc>
        <w:tc>
          <w:tcPr>
            <w:tcW w:w="108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5.50</w:t>
            </w:r>
          </w:p>
        </w:tc>
        <w:tc>
          <w:tcPr>
            <w:tcW w:w="113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5.03</w:t>
            </w:r>
          </w:p>
        </w:tc>
        <w:tc>
          <w:tcPr>
            <w:tcW w:w="1276"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5.07</w:t>
            </w:r>
          </w:p>
        </w:tc>
        <w:tc>
          <w:tcPr>
            <w:tcW w:w="1134" w:type="dxa"/>
            <w:tcBorders>
              <w:top w:val="single" w:sz="6" w:space="0" w:color="008000"/>
            </w:tcBorders>
            <w:shd w:val="clear" w:color="auto" w:fill="auto"/>
          </w:tcPr>
          <w:p w:rsidR="005544DF" w:rsidRPr="001313B7" w:rsidRDefault="005544DF" w:rsidP="003C7F1A">
            <w:pPr>
              <w:spacing w:before="0" w:after="0" w:line="240" w:lineRule="auto"/>
              <w:ind w:firstLine="0"/>
              <w:jc w:val="center"/>
              <w:rPr>
                <w:sz w:val="20"/>
              </w:rPr>
            </w:pPr>
            <w:r w:rsidRPr="001313B7">
              <w:rPr>
                <w:sz w:val="20"/>
              </w:rPr>
              <w:t>4.79</w:t>
            </w:r>
          </w:p>
        </w:tc>
      </w:tr>
      <w:tr w:rsidR="005544DF" w:rsidRPr="001313B7" w:rsidTr="003C7F1A">
        <w:tc>
          <w:tcPr>
            <w:tcW w:w="2943" w:type="dxa"/>
            <w:shd w:val="clear" w:color="auto" w:fill="auto"/>
          </w:tcPr>
          <w:p w:rsidR="005544DF" w:rsidRPr="001313B7" w:rsidRDefault="005544DF" w:rsidP="003C7F1A">
            <w:pPr>
              <w:spacing w:before="0" w:after="0" w:line="240" w:lineRule="auto"/>
              <w:ind w:firstLine="0"/>
              <w:rPr>
                <w:sz w:val="20"/>
              </w:rPr>
            </w:pPr>
            <w:r w:rsidRPr="001313B7">
              <w:rPr>
                <w:sz w:val="20"/>
              </w:rPr>
              <w:t>% AP</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90.8%</w:t>
            </w:r>
          </w:p>
        </w:tc>
        <w:tc>
          <w:tcPr>
            <w:tcW w:w="11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93.3%</w:t>
            </w:r>
          </w:p>
        </w:tc>
        <w:tc>
          <w:tcPr>
            <w:tcW w:w="10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81.5%</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88.2%</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84.5%</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100.0%</w:t>
            </w:r>
          </w:p>
        </w:tc>
      </w:tr>
      <w:tr w:rsidR="005544DF" w:rsidRPr="001313B7" w:rsidTr="003C7F1A">
        <w:tc>
          <w:tcPr>
            <w:tcW w:w="2943" w:type="dxa"/>
            <w:shd w:val="clear" w:color="auto" w:fill="auto"/>
          </w:tcPr>
          <w:p w:rsidR="005544DF" w:rsidRPr="001313B7" w:rsidRDefault="005544DF" w:rsidP="003C7F1A">
            <w:pPr>
              <w:spacing w:before="0" w:after="0" w:line="240" w:lineRule="auto"/>
              <w:ind w:firstLine="0"/>
              <w:rPr>
                <w:sz w:val="20"/>
              </w:rPr>
            </w:pPr>
            <w:r w:rsidRPr="001313B7">
              <w:rPr>
                <w:sz w:val="20"/>
              </w:rPr>
              <w:t>% ALC</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73.0%</w:t>
            </w:r>
          </w:p>
        </w:tc>
        <w:tc>
          <w:tcPr>
            <w:tcW w:w="11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82.9%</w:t>
            </w:r>
          </w:p>
        </w:tc>
        <w:tc>
          <w:tcPr>
            <w:tcW w:w="10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38.9%</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56.9%</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53.7%</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69.3%</w:t>
            </w:r>
          </w:p>
        </w:tc>
      </w:tr>
      <w:tr w:rsidR="005544DF" w:rsidRPr="001313B7" w:rsidTr="003C7F1A">
        <w:tc>
          <w:tcPr>
            <w:tcW w:w="2943" w:type="dxa"/>
            <w:shd w:val="clear" w:color="auto" w:fill="auto"/>
          </w:tcPr>
          <w:p w:rsidR="005544DF" w:rsidRPr="001313B7" w:rsidRDefault="005544DF" w:rsidP="003C7F1A">
            <w:pPr>
              <w:spacing w:before="0" w:after="0" w:line="240" w:lineRule="auto"/>
              <w:ind w:firstLine="0"/>
              <w:rPr>
                <w:sz w:val="20"/>
              </w:rPr>
            </w:pPr>
            <w:r w:rsidRPr="001313B7">
              <w:rPr>
                <w:sz w:val="20"/>
              </w:rPr>
              <w:t>% ELEC</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95.0%</w:t>
            </w:r>
          </w:p>
        </w:tc>
        <w:tc>
          <w:tcPr>
            <w:tcW w:w="11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96.4%</w:t>
            </w:r>
          </w:p>
        </w:tc>
        <w:tc>
          <w:tcPr>
            <w:tcW w:w="10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96.0%</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96.5%</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91.7%</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95.0%</w:t>
            </w:r>
          </w:p>
        </w:tc>
      </w:tr>
      <w:tr w:rsidR="005544DF" w:rsidRPr="001313B7" w:rsidTr="003C7F1A">
        <w:tc>
          <w:tcPr>
            <w:tcW w:w="2943" w:type="dxa"/>
            <w:shd w:val="clear" w:color="auto" w:fill="auto"/>
          </w:tcPr>
          <w:p w:rsidR="005544DF" w:rsidRPr="001313B7" w:rsidRDefault="005544DF" w:rsidP="003C7F1A">
            <w:pPr>
              <w:spacing w:before="0" w:after="0" w:line="240" w:lineRule="auto"/>
              <w:ind w:firstLine="0"/>
              <w:rPr>
                <w:sz w:val="20"/>
              </w:rPr>
            </w:pPr>
            <w:r w:rsidRPr="001313B7">
              <w:rPr>
                <w:sz w:val="20"/>
              </w:rPr>
              <w:t>% DE POBLACION ESTATAL</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13.0%</w:t>
            </w:r>
          </w:p>
        </w:tc>
        <w:tc>
          <w:tcPr>
            <w:tcW w:w="11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13.5%</w:t>
            </w:r>
          </w:p>
        </w:tc>
        <w:tc>
          <w:tcPr>
            <w:tcW w:w="108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6.0%</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6.0%</w:t>
            </w:r>
          </w:p>
        </w:tc>
        <w:tc>
          <w:tcPr>
            <w:tcW w:w="1276"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2.0%</w:t>
            </w:r>
          </w:p>
        </w:tc>
        <w:tc>
          <w:tcPr>
            <w:tcW w:w="1134" w:type="dxa"/>
            <w:shd w:val="clear" w:color="auto" w:fill="auto"/>
          </w:tcPr>
          <w:p w:rsidR="005544DF" w:rsidRPr="001313B7" w:rsidRDefault="005544DF" w:rsidP="003C7F1A">
            <w:pPr>
              <w:spacing w:before="0" w:after="0" w:line="240" w:lineRule="auto"/>
              <w:ind w:firstLine="0"/>
              <w:jc w:val="center"/>
              <w:rPr>
                <w:sz w:val="20"/>
              </w:rPr>
            </w:pPr>
            <w:r w:rsidRPr="001313B7">
              <w:rPr>
                <w:sz w:val="20"/>
              </w:rPr>
              <w:t>2.2%</w:t>
            </w:r>
          </w:p>
        </w:tc>
      </w:tr>
    </w:tbl>
    <w:p w:rsidR="005544DF" w:rsidRPr="00D63761" w:rsidRDefault="005544DF" w:rsidP="005544DF">
      <w:pPr>
        <w:rPr>
          <w:sz w:val="18"/>
          <w:szCs w:val="18"/>
        </w:rPr>
      </w:pPr>
      <w:r w:rsidRPr="00D63761">
        <w:rPr>
          <w:sz w:val="18"/>
          <w:szCs w:val="18"/>
        </w:rPr>
        <w:t>F</w:t>
      </w:r>
      <w:r w:rsidR="001D49F0">
        <w:rPr>
          <w:sz w:val="18"/>
          <w:szCs w:val="18"/>
        </w:rPr>
        <w:t>uente:</w:t>
      </w:r>
      <w:r w:rsidRPr="00D63761">
        <w:rPr>
          <w:sz w:val="18"/>
          <w:szCs w:val="18"/>
        </w:rPr>
        <w:t xml:space="preserve"> Elaboración propia IGH</w:t>
      </w:r>
      <w:r>
        <w:rPr>
          <w:sz w:val="18"/>
          <w:szCs w:val="18"/>
        </w:rPr>
        <w:t xml:space="preserve"> con base en información del conteo INEGI 2005 y censo 2000</w:t>
      </w:r>
    </w:p>
    <w:p w:rsidR="005544DF" w:rsidRDefault="005544DF" w:rsidP="005544DF">
      <w:r>
        <w:t xml:space="preserve">El acuífero de Huamantla concentra en promedio el 30% de la población pecuaria del Estado de Tlaxcala, en los acuíferos de Libres- Oriental y Perote se concentran casi el 4% de las cabezas de ganado censadas en el estado de Puebla y Veracruz respectivamente, sin embargo, es interesante observar que con respecto al ganado porcino, el acuífero de Perote destaca por tener el mayor </w:t>
      </w:r>
      <w:r>
        <w:lastRenderedPageBreak/>
        <w:t>numero de cerdos en toda el área de estudio aún y cuando representan el 15% del total del estado de Veracruz.</w:t>
      </w:r>
    </w:p>
    <w:p w:rsidR="005544DF" w:rsidRDefault="005544DF" w:rsidP="005544DF">
      <w:pPr>
        <w:pStyle w:val="Grafica1cap5"/>
      </w:pPr>
      <w:r w:rsidRPr="005544DF">
        <w:t>Distribución pecuaria según especie y acuífero</w:t>
      </w:r>
    </w:p>
    <w:p w:rsidR="00CC16AF" w:rsidRDefault="00CC16AF" w:rsidP="003C3298">
      <w:pPr>
        <w:jc w:val="center"/>
      </w:pPr>
      <w:r w:rsidRPr="00CC16AF">
        <w:rPr>
          <w:noProof/>
          <w:lang w:eastAsia="es-MX"/>
        </w:rPr>
        <w:drawing>
          <wp:inline distT="0" distB="0" distL="0" distR="0">
            <wp:extent cx="4731815" cy="2391528"/>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748456" cy="2399939"/>
                    </a:xfrm>
                    <a:prstGeom prst="rect">
                      <a:avLst/>
                    </a:prstGeom>
                    <a:noFill/>
                    <a:ln w="9525">
                      <a:noFill/>
                      <a:miter lim="800000"/>
                      <a:headEnd/>
                      <a:tailEnd/>
                    </a:ln>
                  </pic:spPr>
                </pic:pic>
              </a:graphicData>
            </a:graphic>
          </wp:inline>
        </w:drawing>
      </w:r>
    </w:p>
    <w:p w:rsidR="003C3298" w:rsidRPr="00D63761" w:rsidRDefault="001D49F0" w:rsidP="001D49F0">
      <w:pPr>
        <w:jc w:val="center"/>
        <w:rPr>
          <w:sz w:val="18"/>
          <w:szCs w:val="18"/>
        </w:rPr>
      </w:pPr>
      <w:r>
        <w:rPr>
          <w:sz w:val="18"/>
          <w:szCs w:val="18"/>
        </w:rPr>
        <w:t>Fuente</w:t>
      </w:r>
      <w:r w:rsidR="003C3298" w:rsidRPr="00D63761">
        <w:rPr>
          <w:sz w:val="18"/>
          <w:szCs w:val="18"/>
        </w:rPr>
        <w:t>: Elaboración propia IGH</w:t>
      </w:r>
      <w:r w:rsidR="003C3298">
        <w:rPr>
          <w:sz w:val="18"/>
          <w:szCs w:val="18"/>
        </w:rPr>
        <w:t xml:space="preserve"> con base en información del conteo INEGI 2005 y censo 2000</w:t>
      </w:r>
    </w:p>
    <w:p w:rsidR="00CC16AF" w:rsidRDefault="00CC16AF" w:rsidP="000574FF"/>
    <w:p w:rsidR="005544DF" w:rsidRPr="00B411AC" w:rsidRDefault="005544DF" w:rsidP="008011C2">
      <w:pPr>
        <w:outlineLvl w:val="0"/>
        <w:rPr>
          <w:rFonts w:ascii="Arial Rounded MT Bold" w:hAnsi="Arial Rounded MT Bold"/>
          <w:smallCaps/>
          <w:sz w:val="24"/>
          <w:szCs w:val="24"/>
        </w:rPr>
      </w:pPr>
      <w:r w:rsidRPr="00B411AC">
        <w:rPr>
          <w:rFonts w:ascii="Arial Rounded MT Bold" w:hAnsi="Arial Rounded MT Bold"/>
          <w:smallCaps/>
          <w:sz w:val="24"/>
          <w:szCs w:val="24"/>
        </w:rPr>
        <w:t>Panorama Económico Estatal</w:t>
      </w:r>
      <w:r w:rsidR="005E6F69" w:rsidRPr="00B411AC">
        <w:rPr>
          <w:rFonts w:ascii="Arial Rounded MT Bold" w:hAnsi="Arial Rounded MT Bold"/>
          <w:smallCaps/>
          <w:sz w:val="24"/>
          <w:szCs w:val="24"/>
        </w:rPr>
        <w:t xml:space="preserve">  </w:t>
      </w:r>
    </w:p>
    <w:p w:rsidR="002C7DA3" w:rsidRDefault="006C6266" w:rsidP="000574FF">
      <w:r>
        <w:t>La actividad económica en el área de estudio refleja las condiciones de desarrollo productivo histórico, enmarcado éste en aspectos sociales, económicos, geográficos y ambientales.</w:t>
      </w:r>
    </w:p>
    <w:p w:rsidR="006C6266" w:rsidRDefault="006C6266" w:rsidP="006C6266">
      <w:r>
        <w:t>En términos de Producto Interno Bruto (PIB) a nivel estatal, el estado de Veracruz se presenta como la entidad que genera mayor cantidad de valor de producción, únicamente para el periodo 2003-2007, su participaci</w:t>
      </w:r>
      <w:r w:rsidR="001753A4">
        <w:t>ón nacional se incremento en 0.27</w:t>
      </w:r>
      <w:r>
        <w:t>%, mientras que los estado de Puebla y Tlaxcala tuvieron un decremento de -0.07% y -0.06%, respectivamente.</w:t>
      </w:r>
    </w:p>
    <w:p w:rsidR="003C3298" w:rsidRDefault="006C6266" w:rsidP="006C6266">
      <w:r>
        <w:t xml:space="preserve">Por lo anterior, Veracruz es el único estado que mantiene un crecimiento constante mientras que el estado de Puebla a partir de una caída considerable de su PIB en 2004 refleja una tendencia hacia la recuperación, no así Tlaxcala, quien muestra una paulatina disminución en su participación nacional. </w:t>
      </w:r>
    </w:p>
    <w:p w:rsidR="003C7F1A" w:rsidRDefault="003C7F1A" w:rsidP="003C7F1A">
      <w:pPr>
        <w:pStyle w:val="Tabla1cap5"/>
      </w:pPr>
      <w:r w:rsidRPr="006C6266">
        <w:t>PIB Nacional y Estatal en Millones de Pesos a Precios Corrientes en Valores Básicos</w:t>
      </w:r>
    </w:p>
    <w:tbl>
      <w:tblPr>
        <w:tblW w:w="4921" w:type="pct"/>
        <w:tblBorders>
          <w:top w:val="single" w:sz="12" w:space="0" w:color="008000"/>
          <w:bottom w:val="single" w:sz="12" w:space="0" w:color="008000"/>
        </w:tblBorders>
        <w:tblLayout w:type="fixed"/>
        <w:tblLook w:val="04A0"/>
      </w:tblPr>
      <w:tblGrid>
        <w:gridCol w:w="1069"/>
        <w:gridCol w:w="998"/>
        <w:gridCol w:w="1024"/>
        <w:gridCol w:w="992"/>
        <w:gridCol w:w="985"/>
        <w:gridCol w:w="1125"/>
        <w:gridCol w:w="723"/>
        <w:gridCol w:w="708"/>
        <w:gridCol w:w="706"/>
        <w:gridCol w:w="710"/>
        <w:gridCol w:w="708"/>
      </w:tblGrid>
      <w:tr w:rsidR="003C3298" w:rsidRPr="003C3298" w:rsidTr="003C3298">
        <w:trPr>
          <w:trHeight w:val="20"/>
        </w:trPr>
        <w:tc>
          <w:tcPr>
            <w:tcW w:w="548" w:type="pct"/>
            <w:vMerge w:val="restart"/>
            <w:tcBorders>
              <w:top w:val="single" w:sz="12" w:space="0" w:color="008000"/>
              <w:bottom w:val="single" w:sz="6" w:space="0" w:color="008000"/>
            </w:tcBorders>
            <w:shd w:val="clear" w:color="auto" w:fill="auto"/>
            <w:noWrap/>
            <w:vAlign w:val="center"/>
            <w:hideMark/>
          </w:tcPr>
          <w:p w:rsidR="003C7F1A" w:rsidRPr="003C3298" w:rsidRDefault="003C7F1A" w:rsidP="003C3298">
            <w:pPr>
              <w:spacing w:before="0" w:after="0" w:line="240" w:lineRule="auto"/>
              <w:ind w:firstLine="0"/>
              <w:jc w:val="center"/>
              <w:rPr>
                <w:sz w:val="18"/>
                <w:szCs w:val="18"/>
              </w:rPr>
            </w:pPr>
            <w:r w:rsidRPr="003C3298">
              <w:rPr>
                <w:sz w:val="18"/>
                <w:szCs w:val="18"/>
              </w:rPr>
              <w:t>Entidad Federativa</w:t>
            </w:r>
          </w:p>
        </w:tc>
        <w:tc>
          <w:tcPr>
            <w:tcW w:w="512" w:type="pct"/>
            <w:vMerge w:val="restart"/>
            <w:tcBorders>
              <w:top w:val="single" w:sz="12" w:space="0" w:color="008000"/>
              <w:bottom w:val="single" w:sz="6" w:space="0" w:color="008000"/>
            </w:tcBorders>
            <w:shd w:val="clear" w:color="auto" w:fill="auto"/>
            <w:noWrap/>
            <w:vAlign w:val="center"/>
            <w:hideMark/>
          </w:tcPr>
          <w:p w:rsidR="003C7F1A" w:rsidRPr="003C3298" w:rsidRDefault="003C7F1A" w:rsidP="003C3298">
            <w:pPr>
              <w:spacing w:before="0" w:after="0" w:line="240" w:lineRule="auto"/>
              <w:ind w:firstLine="0"/>
              <w:jc w:val="center"/>
              <w:rPr>
                <w:sz w:val="18"/>
                <w:szCs w:val="18"/>
              </w:rPr>
            </w:pPr>
            <w:r w:rsidRPr="003C3298">
              <w:rPr>
                <w:sz w:val="18"/>
                <w:szCs w:val="18"/>
              </w:rPr>
              <w:t>2003</w:t>
            </w:r>
          </w:p>
        </w:tc>
        <w:tc>
          <w:tcPr>
            <w:tcW w:w="525" w:type="pct"/>
            <w:vMerge w:val="restart"/>
            <w:tcBorders>
              <w:top w:val="single" w:sz="12" w:space="0" w:color="008000"/>
              <w:bottom w:val="single" w:sz="6" w:space="0" w:color="008000"/>
            </w:tcBorders>
            <w:shd w:val="clear" w:color="auto" w:fill="auto"/>
            <w:noWrap/>
            <w:vAlign w:val="center"/>
            <w:hideMark/>
          </w:tcPr>
          <w:p w:rsidR="003C7F1A" w:rsidRPr="003C3298" w:rsidRDefault="003C7F1A" w:rsidP="003C3298">
            <w:pPr>
              <w:spacing w:before="0" w:after="0" w:line="240" w:lineRule="auto"/>
              <w:ind w:firstLine="0"/>
              <w:jc w:val="center"/>
              <w:rPr>
                <w:sz w:val="18"/>
                <w:szCs w:val="18"/>
              </w:rPr>
            </w:pPr>
            <w:r w:rsidRPr="003C3298">
              <w:rPr>
                <w:sz w:val="18"/>
                <w:szCs w:val="18"/>
              </w:rPr>
              <w:t>2004</w:t>
            </w:r>
          </w:p>
        </w:tc>
        <w:tc>
          <w:tcPr>
            <w:tcW w:w="509" w:type="pct"/>
            <w:vMerge w:val="restart"/>
            <w:tcBorders>
              <w:top w:val="single" w:sz="12" w:space="0" w:color="008000"/>
              <w:bottom w:val="single" w:sz="6" w:space="0" w:color="008000"/>
            </w:tcBorders>
            <w:shd w:val="clear" w:color="auto" w:fill="auto"/>
            <w:noWrap/>
            <w:vAlign w:val="center"/>
            <w:hideMark/>
          </w:tcPr>
          <w:p w:rsidR="003C7F1A" w:rsidRPr="003C3298" w:rsidRDefault="003C7F1A" w:rsidP="003C3298">
            <w:pPr>
              <w:spacing w:before="0" w:after="0" w:line="240" w:lineRule="auto"/>
              <w:ind w:firstLine="0"/>
              <w:jc w:val="center"/>
              <w:rPr>
                <w:sz w:val="18"/>
                <w:szCs w:val="18"/>
              </w:rPr>
            </w:pPr>
            <w:r w:rsidRPr="003C3298">
              <w:rPr>
                <w:sz w:val="18"/>
                <w:szCs w:val="18"/>
              </w:rPr>
              <w:t>2005</w:t>
            </w:r>
          </w:p>
        </w:tc>
        <w:tc>
          <w:tcPr>
            <w:tcW w:w="505" w:type="pct"/>
            <w:vMerge w:val="restart"/>
            <w:tcBorders>
              <w:top w:val="single" w:sz="12" w:space="0" w:color="008000"/>
              <w:bottom w:val="single" w:sz="6" w:space="0" w:color="008000"/>
            </w:tcBorders>
            <w:shd w:val="clear" w:color="auto" w:fill="auto"/>
            <w:noWrap/>
            <w:vAlign w:val="center"/>
            <w:hideMark/>
          </w:tcPr>
          <w:p w:rsidR="003C7F1A" w:rsidRPr="003C3298" w:rsidRDefault="003C7F1A" w:rsidP="003C3298">
            <w:pPr>
              <w:spacing w:before="0" w:after="0" w:line="240" w:lineRule="auto"/>
              <w:ind w:firstLine="0"/>
              <w:jc w:val="center"/>
              <w:rPr>
                <w:sz w:val="18"/>
                <w:szCs w:val="18"/>
              </w:rPr>
            </w:pPr>
            <w:r w:rsidRPr="003C3298">
              <w:rPr>
                <w:sz w:val="18"/>
                <w:szCs w:val="18"/>
              </w:rPr>
              <w:t>2006</w:t>
            </w:r>
          </w:p>
        </w:tc>
        <w:tc>
          <w:tcPr>
            <w:tcW w:w="577" w:type="pct"/>
            <w:vMerge w:val="restart"/>
            <w:tcBorders>
              <w:top w:val="single" w:sz="12" w:space="0" w:color="008000"/>
              <w:bottom w:val="single" w:sz="6" w:space="0" w:color="008000"/>
            </w:tcBorders>
            <w:shd w:val="clear" w:color="auto" w:fill="auto"/>
            <w:noWrap/>
            <w:vAlign w:val="center"/>
            <w:hideMark/>
          </w:tcPr>
          <w:p w:rsidR="003C7F1A" w:rsidRPr="003C3298" w:rsidRDefault="003C7F1A" w:rsidP="003C3298">
            <w:pPr>
              <w:spacing w:before="0" w:after="0" w:line="240" w:lineRule="auto"/>
              <w:ind w:firstLine="0"/>
              <w:jc w:val="center"/>
              <w:rPr>
                <w:sz w:val="18"/>
                <w:szCs w:val="18"/>
              </w:rPr>
            </w:pPr>
            <w:r w:rsidRPr="003C3298">
              <w:rPr>
                <w:sz w:val="18"/>
                <w:szCs w:val="18"/>
              </w:rPr>
              <w:t>2007</w:t>
            </w:r>
          </w:p>
        </w:tc>
        <w:tc>
          <w:tcPr>
            <w:tcW w:w="1823" w:type="pct"/>
            <w:gridSpan w:val="5"/>
            <w:tcBorders>
              <w:top w:val="single" w:sz="12" w:space="0" w:color="008000"/>
              <w:bottom w:val="single" w:sz="6" w:space="0" w:color="008000"/>
            </w:tcBorders>
            <w:shd w:val="clear" w:color="auto" w:fill="auto"/>
            <w:noWrap/>
            <w:hideMark/>
          </w:tcPr>
          <w:p w:rsidR="003C7F1A" w:rsidRPr="003C3298" w:rsidRDefault="003C7F1A" w:rsidP="003C3298">
            <w:pPr>
              <w:spacing w:before="0" w:after="0" w:line="240" w:lineRule="auto"/>
              <w:ind w:firstLine="0"/>
              <w:jc w:val="center"/>
              <w:rPr>
                <w:sz w:val="18"/>
                <w:szCs w:val="18"/>
              </w:rPr>
            </w:pPr>
            <w:r w:rsidRPr="003C3298">
              <w:rPr>
                <w:sz w:val="18"/>
                <w:szCs w:val="18"/>
              </w:rPr>
              <w:t>Estructura Porcentual</w:t>
            </w:r>
          </w:p>
        </w:tc>
      </w:tr>
      <w:tr w:rsidR="003C3298" w:rsidRPr="003C3298" w:rsidTr="003C3298">
        <w:trPr>
          <w:trHeight w:val="20"/>
        </w:trPr>
        <w:tc>
          <w:tcPr>
            <w:tcW w:w="548" w:type="pct"/>
            <w:vMerge/>
            <w:tcBorders>
              <w:bottom w:val="single" w:sz="4" w:space="0" w:color="auto"/>
            </w:tcBorders>
            <w:shd w:val="clear" w:color="auto" w:fill="auto"/>
            <w:hideMark/>
          </w:tcPr>
          <w:p w:rsidR="003C7F1A" w:rsidRPr="003C3298" w:rsidRDefault="003C7F1A" w:rsidP="003C7F1A">
            <w:pPr>
              <w:spacing w:before="0" w:after="0" w:line="240" w:lineRule="auto"/>
              <w:ind w:firstLine="0"/>
              <w:jc w:val="left"/>
              <w:rPr>
                <w:rFonts w:ascii="Calibri" w:eastAsia="Times New Roman" w:hAnsi="Calibri" w:cs="Times New Roman"/>
                <w:color w:val="000000"/>
                <w:sz w:val="18"/>
                <w:szCs w:val="18"/>
                <w:lang w:eastAsia="es-MX"/>
              </w:rPr>
            </w:pPr>
          </w:p>
        </w:tc>
        <w:tc>
          <w:tcPr>
            <w:tcW w:w="512" w:type="pct"/>
            <w:vMerge/>
            <w:tcBorders>
              <w:bottom w:val="single" w:sz="4" w:space="0" w:color="auto"/>
            </w:tcBorders>
            <w:shd w:val="clear" w:color="auto" w:fill="auto"/>
            <w:hideMark/>
          </w:tcPr>
          <w:p w:rsidR="003C7F1A" w:rsidRPr="003C3298" w:rsidRDefault="003C7F1A" w:rsidP="003C3298">
            <w:pPr>
              <w:spacing w:before="0" w:after="0" w:line="240" w:lineRule="auto"/>
              <w:ind w:firstLine="0"/>
              <w:jc w:val="center"/>
              <w:rPr>
                <w:rFonts w:ascii="Calibri" w:eastAsia="Times New Roman" w:hAnsi="Calibri" w:cs="Times New Roman"/>
                <w:color w:val="000000"/>
                <w:sz w:val="18"/>
                <w:szCs w:val="18"/>
                <w:lang w:eastAsia="es-MX"/>
              </w:rPr>
            </w:pPr>
          </w:p>
        </w:tc>
        <w:tc>
          <w:tcPr>
            <w:tcW w:w="525" w:type="pct"/>
            <w:vMerge/>
            <w:tcBorders>
              <w:bottom w:val="single" w:sz="4" w:space="0" w:color="auto"/>
            </w:tcBorders>
            <w:shd w:val="clear" w:color="auto" w:fill="auto"/>
            <w:hideMark/>
          </w:tcPr>
          <w:p w:rsidR="003C7F1A" w:rsidRPr="003C3298" w:rsidRDefault="003C7F1A" w:rsidP="003C3298">
            <w:pPr>
              <w:spacing w:before="0" w:after="0" w:line="240" w:lineRule="auto"/>
              <w:ind w:firstLine="0"/>
              <w:jc w:val="center"/>
              <w:rPr>
                <w:rFonts w:ascii="Calibri" w:eastAsia="Times New Roman" w:hAnsi="Calibri" w:cs="Times New Roman"/>
                <w:color w:val="000000"/>
                <w:sz w:val="18"/>
                <w:szCs w:val="18"/>
                <w:lang w:eastAsia="es-MX"/>
              </w:rPr>
            </w:pPr>
          </w:p>
        </w:tc>
        <w:tc>
          <w:tcPr>
            <w:tcW w:w="509" w:type="pct"/>
            <w:vMerge/>
            <w:tcBorders>
              <w:bottom w:val="single" w:sz="4" w:space="0" w:color="auto"/>
            </w:tcBorders>
            <w:shd w:val="clear" w:color="auto" w:fill="auto"/>
            <w:hideMark/>
          </w:tcPr>
          <w:p w:rsidR="003C7F1A" w:rsidRPr="003C3298" w:rsidRDefault="003C7F1A" w:rsidP="003C3298">
            <w:pPr>
              <w:spacing w:before="0" w:after="0" w:line="240" w:lineRule="auto"/>
              <w:ind w:firstLine="0"/>
              <w:jc w:val="center"/>
              <w:rPr>
                <w:rFonts w:ascii="Calibri" w:eastAsia="Times New Roman" w:hAnsi="Calibri" w:cs="Times New Roman"/>
                <w:color w:val="000000"/>
                <w:sz w:val="18"/>
                <w:szCs w:val="18"/>
                <w:lang w:eastAsia="es-MX"/>
              </w:rPr>
            </w:pPr>
          </w:p>
        </w:tc>
        <w:tc>
          <w:tcPr>
            <w:tcW w:w="505" w:type="pct"/>
            <w:vMerge/>
            <w:tcBorders>
              <w:bottom w:val="single" w:sz="4" w:space="0" w:color="auto"/>
            </w:tcBorders>
            <w:shd w:val="clear" w:color="auto" w:fill="auto"/>
            <w:hideMark/>
          </w:tcPr>
          <w:p w:rsidR="003C7F1A" w:rsidRPr="003C3298" w:rsidRDefault="003C7F1A" w:rsidP="003C3298">
            <w:pPr>
              <w:spacing w:before="0" w:after="0" w:line="240" w:lineRule="auto"/>
              <w:ind w:firstLine="0"/>
              <w:jc w:val="center"/>
              <w:rPr>
                <w:rFonts w:ascii="Calibri" w:eastAsia="Times New Roman" w:hAnsi="Calibri" w:cs="Times New Roman"/>
                <w:color w:val="000000"/>
                <w:sz w:val="18"/>
                <w:szCs w:val="18"/>
                <w:lang w:eastAsia="es-MX"/>
              </w:rPr>
            </w:pPr>
          </w:p>
        </w:tc>
        <w:tc>
          <w:tcPr>
            <w:tcW w:w="577" w:type="pct"/>
            <w:vMerge/>
            <w:tcBorders>
              <w:bottom w:val="single" w:sz="4" w:space="0" w:color="auto"/>
            </w:tcBorders>
            <w:shd w:val="clear" w:color="auto" w:fill="auto"/>
            <w:hideMark/>
          </w:tcPr>
          <w:p w:rsidR="003C7F1A" w:rsidRPr="003C3298" w:rsidRDefault="003C7F1A" w:rsidP="003C3298">
            <w:pPr>
              <w:spacing w:before="0" w:after="0" w:line="240" w:lineRule="auto"/>
              <w:ind w:firstLine="0"/>
              <w:jc w:val="center"/>
              <w:rPr>
                <w:rFonts w:ascii="Calibri" w:eastAsia="Times New Roman" w:hAnsi="Calibri" w:cs="Times New Roman"/>
                <w:color w:val="000000"/>
                <w:sz w:val="18"/>
                <w:szCs w:val="18"/>
                <w:lang w:eastAsia="es-MX"/>
              </w:rPr>
            </w:pPr>
          </w:p>
        </w:tc>
        <w:tc>
          <w:tcPr>
            <w:tcW w:w="371" w:type="pct"/>
            <w:tcBorders>
              <w:bottom w:val="single" w:sz="4" w:space="0" w:color="auto"/>
            </w:tcBorders>
            <w:shd w:val="clear" w:color="auto" w:fill="auto"/>
            <w:noWrap/>
            <w:hideMark/>
          </w:tcPr>
          <w:p w:rsidR="003C7F1A" w:rsidRPr="003C3298" w:rsidRDefault="003C7F1A" w:rsidP="003C3298">
            <w:pPr>
              <w:spacing w:before="0" w:after="0" w:line="240" w:lineRule="auto"/>
              <w:ind w:firstLine="0"/>
              <w:jc w:val="center"/>
              <w:rPr>
                <w:sz w:val="18"/>
                <w:szCs w:val="18"/>
              </w:rPr>
            </w:pPr>
            <w:r w:rsidRPr="003C3298">
              <w:rPr>
                <w:sz w:val="18"/>
                <w:szCs w:val="18"/>
              </w:rPr>
              <w:t>2003</w:t>
            </w:r>
          </w:p>
        </w:tc>
        <w:tc>
          <w:tcPr>
            <w:tcW w:w="363" w:type="pct"/>
            <w:tcBorders>
              <w:bottom w:val="single" w:sz="4" w:space="0" w:color="auto"/>
            </w:tcBorders>
            <w:shd w:val="clear" w:color="auto" w:fill="auto"/>
            <w:noWrap/>
            <w:hideMark/>
          </w:tcPr>
          <w:p w:rsidR="003C7F1A" w:rsidRPr="003C3298" w:rsidRDefault="003C7F1A" w:rsidP="003C3298">
            <w:pPr>
              <w:spacing w:before="0" w:after="0" w:line="240" w:lineRule="auto"/>
              <w:ind w:firstLine="0"/>
              <w:jc w:val="center"/>
              <w:rPr>
                <w:sz w:val="18"/>
                <w:szCs w:val="18"/>
              </w:rPr>
            </w:pPr>
            <w:r w:rsidRPr="003C3298">
              <w:rPr>
                <w:sz w:val="18"/>
                <w:szCs w:val="18"/>
              </w:rPr>
              <w:t>2004</w:t>
            </w:r>
          </w:p>
        </w:tc>
        <w:tc>
          <w:tcPr>
            <w:tcW w:w="362" w:type="pct"/>
            <w:tcBorders>
              <w:bottom w:val="single" w:sz="4" w:space="0" w:color="auto"/>
            </w:tcBorders>
            <w:shd w:val="clear" w:color="auto" w:fill="auto"/>
            <w:noWrap/>
            <w:hideMark/>
          </w:tcPr>
          <w:p w:rsidR="003C7F1A" w:rsidRPr="003C3298" w:rsidRDefault="003C7F1A" w:rsidP="003C3298">
            <w:pPr>
              <w:spacing w:before="0" w:after="0" w:line="240" w:lineRule="auto"/>
              <w:ind w:firstLine="0"/>
              <w:jc w:val="center"/>
              <w:rPr>
                <w:sz w:val="18"/>
                <w:szCs w:val="18"/>
              </w:rPr>
            </w:pPr>
            <w:r w:rsidRPr="003C3298">
              <w:rPr>
                <w:sz w:val="18"/>
                <w:szCs w:val="18"/>
              </w:rPr>
              <w:t>2005</w:t>
            </w:r>
          </w:p>
        </w:tc>
        <w:tc>
          <w:tcPr>
            <w:tcW w:w="364" w:type="pct"/>
            <w:tcBorders>
              <w:bottom w:val="single" w:sz="4" w:space="0" w:color="auto"/>
            </w:tcBorders>
            <w:shd w:val="clear" w:color="auto" w:fill="auto"/>
            <w:noWrap/>
            <w:hideMark/>
          </w:tcPr>
          <w:p w:rsidR="003C7F1A" w:rsidRPr="003C3298" w:rsidRDefault="003C7F1A" w:rsidP="003C3298">
            <w:pPr>
              <w:spacing w:before="0" w:after="0" w:line="240" w:lineRule="auto"/>
              <w:ind w:firstLine="0"/>
              <w:jc w:val="center"/>
              <w:rPr>
                <w:sz w:val="18"/>
                <w:szCs w:val="18"/>
              </w:rPr>
            </w:pPr>
            <w:r w:rsidRPr="003C3298">
              <w:rPr>
                <w:sz w:val="18"/>
                <w:szCs w:val="18"/>
              </w:rPr>
              <w:t>2006</w:t>
            </w:r>
          </w:p>
        </w:tc>
        <w:tc>
          <w:tcPr>
            <w:tcW w:w="362" w:type="pct"/>
            <w:tcBorders>
              <w:bottom w:val="single" w:sz="4" w:space="0" w:color="auto"/>
            </w:tcBorders>
            <w:shd w:val="clear" w:color="auto" w:fill="auto"/>
            <w:noWrap/>
            <w:hideMark/>
          </w:tcPr>
          <w:p w:rsidR="003C7F1A" w:rsidRPr="003C3298" w:rsidRDefault="003C7F1A" w:rsidP="003C3298">
            <w:pPr>
              <w:spacing w:before="0" w:after="0" w:line="240" w:lineRule="auto"/>
              <w:ind w:firstLine="0"/>
              <w:jc w:val="center"/>
              <w:rPr>
                <w:sz w:val="18"/>
                <w:szCs w:val="18"/>
              </w:rPr>
            </w:pPr>
            <w:r w:rsidRPr="003C3298">
              <w:rPr>
                <w:sz w:val="18"/>
                <w:szCs w:val="18"/>
              </w:rPr>
              <w:t>2007</w:t>
            </w:r>
          </w:p>
        </w:tc>
      </w:tr>
      <w:tr w:rsidR="003C3298" w:rsidRPr="003C3298" w:rsidTr="003C3298">
        <w:trPr>
          <w:trHeight w:val="20"/>
        </w:trPr>
        <w:tc>
          <w:tcPr>
            <w:tcW w:w="548" w:type="pct"/>
            <w:tcBorders>
              <w:top w:val="single" w:sz="4" w:space="0" w:color="auto"/>
            </w:tcBorders>
            <w:shd w:val="clear" w:color="auto" w:fill="auto"/>
            <w:noWrap/>
            <w:hideMark/>
          </w:tcPr>
          <w:p w:rsidR="003C7F1A" w:rsidRPr="003C3298" w:rsidRDefault="003C7F1A" w:rsidP="003C3298">
            <w:pPr>
              <w:spacing w:after="0" w:line="240" w:lineRule="auto"/>
              <w:ind w:firstLine="0"/>
              <w:rPr>
                <w:sz w:val="17"/>
                <w:szCs w:val="17"/>
              </w:rPr>
            </w:pPr>
            <w:r w:rsidRPr="003C3298">
              <w:rPr>
                <w:sz w:val="17"/>
                <w:szCs w:val="17"/>
              </w:rPr>
              <w:t>EUM</w:t>
            </w:r>
          </w:p>
        </w:tc>
        <w:tc>
          <w:tcPr>
            <w:tcW w:w="512"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7,162,773</w:t>
            </w:r>
          </w:p>
        </w:tc>
        <w:tc>
          <w:tcPr>
            <w:tcW w:w="525"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8,167,081</w:t>
            </w:r>
          </w:p>
        </w:tc>
        <w:tc>
          <w:tcPr>
            <w:tcW w:w="509"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8,825,989</w:t>
            </w:r>
          </w:p>
        </w:tc>
        <w:tc>
          <w:tcPr>
            <w:tcW w:w="505"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9,943,114</w:t>
            </w:r>
          </w:p>
        </w:tc>
        <w:tc>
          <w:tcPr>
            <w:tcW w:w="577"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10,739,617</w:t>
            </w:r>
          </w:p>
        </w:tc>
        <w:tc>
          <w:tcPr>
            <w:tcW w:w="371"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100.0</w:t>
            </w:r>
          </w:p>
        </w:tc>
        <w:tc>
          <w:tcPr>
            <w:tcW w:w="363"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100.0</w:t>
            </w:r>
          </w:p>
        </w:tc>
        <w:tc>
          <w:tcPr>
            <w:tcW w:w="362"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100.0</w:t>
            </w:r>
          </w:p>
        </w:tc>
        <w:tc>
          <w:tcPr>
            <w:tcW w:w="364"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100.0</w:t>
            </w:r>
          </w:p>
        </w:tc>
        <w:tc>
          <w:tcPr>
            <w:tcW w:w="362" w:type="pct"/>
            <w:tcBorders>
              <w:top w:val="single" w:sz="4" w:space="0" w:color="auto"/>
            </w:tcBorders>
            <w:shd w:val="clear" w:color="auto" w:fill="auto"/>
            <w:noWrap/>
            <w:hideMark/>
          </w:tcPr>
          <w:p w:rsidR="003C7F1A" w:rsidRPr="003C3298" w:rsidRDefault="003C7F1A" w:rsidP="003C3298">
            <w:pPr>
              <w:spacing w:after="0" w:line="240" w:lineRule="auto"/>
              <w:ind w:firstLine="0"/>
              <w:jc w:val="right"/>
              <w:rPr>
                <w:sz w:val="17"/>
                <w:szCs w:val="17"/>
              </w:rPr>
            </w:pPr>
            <w:r w:rsidRPr="003C3298">
              <w:rPr>
                <w:sz w:val="17"/>
                <w:szCs w:val="17"/>
              </w:rPr>
              <w:t>100.0</w:t>
            </w:r>
          </w:p>
        </w:tc>
      </w:tr>
      <w:tr w:rsidR="003C3298" w:rsidRPr="003C3298" w:rsidTr="003C3298">
        <w:trPr>
          <w:trHeight w:val="20"/>
        </w:trPr>
        <w:tc>
          <w:tcPr>
            <w:tcW w:w="548" w:type="pct"/>
            <w:shd w:val="clear" w:color="auto" w:fill="auto"/>
            <w:noWrap/>
            <w:hideMark/>
          </w:tcPr>
          <w:p w:rsidR="003C7F1A" w:rsidRPr="003C3298" w:rsidRDefault="003C7F1A" w:rsidP="003C3298">
            <w:pPr>
              <w:spacing w:before="0" w:after="0" w:line="240" w:lineRule="auto"/>
              <w:ind w:firstLine="0"/>
              <w:rPr>
                <w:sz w:val="17"/>
                <w:szCs w:val="17"/>
              </w:rPr>
            </w:pPr>
          </w:p>
        </w:tc>
        <w:tc>
          <w:tcPr>
            <w:tcW w:w="512"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525"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509"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505"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577"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371"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363"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364" w:type="pct"/>
            <w:shd w:val="clear" w:color="auto" w:fill="auto"/>
            <w:noWrap/>
            <w:hideMark/>
          </w:tcPr>
          <w:p w:rsidR="003C7F1A" w:rsidRPr="003C3298" w:rsidRDefault="003C7F1A" w:rsidP="003C3298">
            <w:pPr>
              <w:spacing w:before="0" w:after="0" w:line="240" w:lineRule="auto"/>
              <w:ind w:firstLine="0"/>
              <w:jc w:val="right"/>
              <w:rPr>
                <w:sz w:val="17"/>
                <w:szCs w:val="17"/>
              </w:rPr>
            </w:pP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p>
        </w:tc>
      </w:tr>
      <w:tr w:rsidR="003C3298" w:rsidRPr="003C3298" w:rsidTr="003C3298">
        <w:trPr>
          <w:trHeight w:val="20"/>
        </w:trPr>
        <w:tc>
          <w:tcPr>
            <w:tcW w:w="548" w:type="pct"/>
            <w:shd w:val="clear" w:color="auto" w:fill="auto"/>
            <w:noWrap/>
            <w:hideMark/>
          </w:tcPr>
          <w:p w:rsidR="003C7F1A" w:rsidRPr="003C3298" w:rsidRDefault="003C7F1A" w:rsidP="003C3298">
            <w:pPr>
              <w:spacing w:before="0" w:after="0" w:line="240" w:lineRule="auto"/>
              <w:ind w:firstLine="0"/>
              <w:rPr>
                <w:sz w:val="17"/>
                <w:szCs w:val="17"/>
              </w:rPr>
            </w:pPr>
            <w:r w:rsidRPr="003C3298">
              <w:rPr>
                <w:sz w:val="17"/>
                <w:szCs w:val="17"/>
              </w:rPr>
              <w:t>Puebla</w:t>
            </w:r>
          </w:p>
        </w:tc>
        <w:tc>
          <w:tcPr>
            <w:tcW w:w="51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244,943</w:t>
            </w:r>
          </w:p>
        </w:tc>
        <w:tc>
          <w:tcPr>
            <w:tcW w:w="525"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266,729</w:t>
            </w:r>
          </w:p>
        </w:tc>
        <w:tc>
          <w:tcPr>
            <w:tcW w:w="509"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297,511</w:t>
            </w:r>
          </w:p>
        </w:tc>
        <w:tc>
          <w:tcPr>
            <w:tcW w:w="505"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331,910</w:t>
            </w:r>
          </w:p>
        </w:tc>
        <w:tc>
          <w:tcPr>
            <w:tcW w:w="577"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359,813</w:t>
            </w:r>
          </w:p>
        </w:tc>
        <w:tc>
          <w:tcPr>
            <w:tcW w:w="371"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3.42</w:t>
            </w:r>
          </w:p>
        </w:tc>
        <w:tc>
          <w:tcPr>
            <w:tcW w:w="363"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3.27</w:t>
            </w: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3.37</w:t>
            </w:r>
          </w:p>
        </w:tc>
        <w:tc>
          <w:tcPr>
            <w:tcW w:w="364"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3.34</w:t>
            </w: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3.35</w:t>
            </w:r>
          </w:p>
        </w:tc>
      </w:tr>
      <w:tr w:rsidR="003C3298" w:rsidRPr="003C3298" w:rsidTr="003C3298">
        <w:trPr>
          <w:trHeight w:val="20"/>
        </w:trPr>
        <w:tc>
          <w:tcPr>
            <w:tcW w:w="548" w:type="pct"/>
            <w:shd w:val="clear" w:color="auto" w:fill="auto"/>
            <w:noWrap/>
            <w:hideMark/>
          </w:tcPr>
          <w:p w:rsidR="003C7F1A" w:rsidRPr="003C3298" w:rsidRDefault="003C7F1A" w:rsidP="003C3298">
            <w:pPr>
              <w:spacing w:before="0" w:after="0" w:line="240" w:lineRule="auto"/>
              <w:ind w:firstLine="0"/>
              <w:rPr>
                <w:sz w:val="17"/>
                <w:szCs w:val="17"/>
              </w:rPr>
            </w:pPr>
            <w:r w:rsidRPr="003C3298">
              <w:rPr>
                <w:sz w:val="17"/>
                <w:szCs w:val="17"/>
              </w:rPr>
              <w:t>Tlaxcala</w:t>
            </w:r>
          </w:p>
        </w:tc>
        <w:tc>
          <w:tcPr>
            <w:tcW w:w="51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41,937</w:t>
            </w:r>
          </w:p>
        </w:tc>
        <w:tc>
          <w:tcPr>
            <w:tcW w:w="525"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47,250</w:t>
            </w:r>
          </w:p>
        </w:tc>
        <w:tc>
          <w:tcPr>
            <w:tcW w:w="509"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47,318</w:t>
            </w:r>
          </w:p>
        </w:tc>
        <w:tc>
          <w:tcPr>
            <w:tcW w:w="505"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53,156</w:t>
            </w:r>
          </w:p>
        </w:tc>
        <w:tc>
          <w:tcPr>
            <w:tcW w:w="577"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56,695</w:t>
            </w:r>
          </w:p>
        </w:tc>
        <w:tc>
          <w:tcPr>
            <w:tcW w:w="371"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0.59</w:t>
            </w:r>
          </w:p>
        </w:tc>
        <w:tc>
          <w:tcPr>
            <w:tcW w:w="363"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0.58</w:t>
            </w: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0.54</w:t>
            </w:r>
          </w:p>
        </w:tc>
        <w:tc>
          <w:tcPr>
            <w:tcW w:w="364"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0.53</w:t>
            </w: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0.53</w:t>
            </w:r>
          </w:p>
        </w:tc>
      </w:tr>
      <w:tr w:rsidR="003C3298" w:rsidRPr="003C3298" w:rsidTr="003C3298">
        <w:trPr>
          <w:trHeight w:val="20"/>
        </w:trPr>
        <w:tc>
          <w:tcPr>
            <w:tcW w:w="548" w:type="pct"/>
            <w:shd w:val="clear" w:color="auto" w:fill="auto"/>
            <w:noWrap/>
            <w:hideMark/>
          </w:tcPr>
          <w:p w:rsidR="003C7F1A" w:rsidRPr="003C3298" w:rsidRDefault="003C7F1A" w:rsidP="003C3298">
            <w:pPr>
              <w:spacing w:before="0" w:after="0" w:line="240" w:lineRule="auto"/>
              <w:ind w:firstLine="0"/>
              <w:rPr>
                <w:sz w:val="17"/>
                <w:szCs w:val="17"/>
              </w:rPr>
            </w:pPr>
            <w:r w:rsidRPr="003C3298">
              <w:rPr>
                <w:sz w:val="17"/>
                <w:szCs w:val="17"/>
              </w:rPr>
              <w:t>Veracruz</w:t>
            </w:r>
          </w:p>
        </w:tc>
        <w:tc>
          <w:tcPr>
            <w:tcW w:w="51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313,406</w:t>
            </w:r>
          </w:p>
        </w:tc>
        <w:tc>
          <w:tcPr>
            <w:tcW w:w="525"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346,701</w:t>
            </w:r>
          </w:p>
        </w:tc>
        <w:tc>
          <w:tcPr>
            <w:tcW w:w="509"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397,548</w:t>
            </w:r>
          </w:p>
        </w:tc>
        <w:tc>
          <w:tcPr>
            <w:tcW w:w="505"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459,836</w:t>
            </w:r>
          </w:p>
        </w:tc>
        <w:tc>
          <w:tcPr>
            <w:tcW w:w="577"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499,923</w:t>
            </w:r>
          </w:p>
        </w:tc>
        <w:tc>
          <w:tcPr>
            <w:tcW w:w="371"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4.38</w:t>
            </w:r>
          </w:p>
        </w:tc>
        <w:tc>
          <w:tcPr>
            <w:tcW w:w="363"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4.47</w:t>
            </w: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4.50</w:t>
            </w:r>
          </w:p>
        </w:tc>
        <w:tc>
          <w:tcPr>
            <w:tcW w:w="364"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4.62</w:t>
            </w:r>
          </w:p>
        </w:tc>
        <w:tc>
          <w:tcPr>
            <w:tcW w:w="362" w:type="pct"/>
            <w:shd w:val="clear" w:color="auto" w:fill="auto"/>
            <w:noWrap/>
            <w:hideMark/>
          </w:tcPr>
          <w:p w:rsidR="003C7F1A" w:rsidRPr="003C3298" w:rsidRDefault="003C7F1A" w:rsidP="003C3298">
            <w:pPr>
              <w:spacing w:before="0" w:after="0" w:line="240" w:lineRule="auto"/>
              <w:ind w:firstLine="0"/>
              <w:jc w:val="right"/>
              <w:rPr>
                <w:sz w:val="17"/>
                <w:szCs w:val="17"/>
              </w:rPr>
            </w:pPr>
            <w:r w:rsidRPr="003C3298">
              <w:rPr>
                <w:sz w:val="17"/>
                <w:szCs w:val="17"/>
              </w:rPr>
              <w:t>4.65</w:t>
            </w:r>
          </w:p>
        </w:tc>
      </w:tr>
    </w:tbl>
    <w:p w:rsidR="003C7F1A" w:rsidRDefault="003C7F1A" w:rsidP="003C3298">
      <w:pPr>
        <w:spacing w:before="0" w:after="0" w:line="240" w:lineRule="auto"/>
        <w:ind w:firstLine="0"/>
        <w:rPr>
          <w:noProof/>
          <w:sz w:val="16"/>
          <w:szCs w:val="16"/>
          <w:lang w:eastAsia="es-MX"/>
        </w:rPr>
      </w:pPr>
      <w:r w:rsidRPr="003C3298">
        <w:rPr>
          <w:sz w:val="20"/>
        </w:rPr>
        <w:t>F</w:t>
      </w:r>
      <w:r w:rsidRPr="00AC2405">
        <w:rPr>
          <w:noProof/>
          <w:sz w:val="16"/>
          <w:szCs w:val="16"/>
          <w:lang w:eastAsia="es-MX"/>
        </w:rPr>
        <w:t xml:space="preserve">uente: INEGI. </w:t>
      </w:r>
      <w:r w:rsidRPr="00976BF9">
        <w:rPr>
          <w:noProof/>
          <w:sz w:val="16"/>
          <w:szCs w:val="16"/>
          <w:lang w:eastAsia="es-MX"/>
        </w:rPr>
        <w:t xml:space="preserve">Sistema de Cuentas Nacionales de México, Producto Interno Bruto por Entidad Federativa 2003-207, Base 2003. </w:t>
      </w:r>
      <w:r w:rsidRPr="00AC2405">
        <w:rPr>
          <w:noProof/>
          <w:sz w:val="16"/>
          <w:szCs w:val="16"/>
          <w:lang w:eastAsia="es-MX"/>
        </w:rPr>
        <w:t>Dirección General de Estadísticas Económicas. Dirección General Adjunta de Cuentas Nacionales</w:t>
      </w:r>
    </w:p>
    <w:p w:rsidR="001D49F0" w:rsidRDefault="001D49F0" w:rsidP="003C3298">
      <w:pPr>
        <w:spacing w:before="0" w:after="0" w:line="240" w:lineRule="auto"/>
        <w:ind w:firstLine="0"/>
        <w:rPr>
          <w:noProof/>
          <w:sz w:val="16"/>
          <w:szCs w:val="16"/>
          <w:lang w:eastAsia="es-MX"/>
        </w:rPr>
      </w:pPr>
    </w:p>
    <w:p w:rsidR="006C6266" w:rsidRDefault="006C6266" w:rsidP="00A32C1C">
      <w:pPr>
        <w:pStyle w:val="Grafica1cap5"/>
      </w:pPr>
      <w:r w:rsidRPr="006C6266">
        <w:lastRenderedPageBreak/>
        <w:t>Participación porcentual a nivel nacional en términos del PIB generado a precios corrientes</w:t>
      </w:r>
    </w:p>
    <w:p w:rsidR="006C6266" w:rsidRDefault="008011C2" w:rsidP="006C6266">
      <w:pPr>
        <w:jc w:val="center"/>
        <w:rPr>
          <w:noProof/>
          <w:lang w:eastAsia="es-MX"/>
        </w:rPr>
      </w:pPr>
      <w:r>
        <w:rPr>
          <w:noProof/>
          <w:lang w:eastAsia="es-MX"/>
        </w:rPr>
        <w:drawing>
          <wp:inline distT="0" distB="0" distL="0" distR="0">
            <wp:extent cx="3614583" cy="2119355"/>
            <wp:effectExtent l="9628" t="4720" r="4814" b="0"/>
            <wp:docPr id="12" name="Gráfico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753A4" w:rsidRPr="00976BF9" w:rsidRDefault="001753A4" w:rsidP="001D49F0">
      <w:pPr>
        <w:ind w:firstLine="0"/>
        <w:jc w:val="center"/>
        <w:rPr>
          <w:noProof/>
          <w:sz w:val="16"/>
          <w:szCs w:val="16"/>
          <w:lang w:eastAsia="es-MX"/>
        </w:rPr>
      </w:pPr>
      <w:r w:rsidRPr="00976BF9">
        <w:rPr>
          <w:noProof/>
          <w:sz w:val="16"/>
          <w:szCs w:val="16"/>
          <w:lang w:eastAsia="es-MX"/>
        </w:rPr>
        <w:t>Fuente: INEGI. Sistema de Cuentas Nacionales de México, Producto Interno Bruto por Entidad Federativa 2003-207, Base 2003.</w:t>
      </w:r>
    </w:p>
    <w:p w:rsidR="006C6266" w:rsidRDefault="006C6266" w:rsidP="006C6266">
      <w:r>
        <w:t xml:space="preserve">De forma general, para los tres estados, las actividades de los sectores Secundario y Terciario tienen mayor representatividad en lo concerniente al PIB estatal y nacional, sin embargo, para algunos casos, algunas ramas de la producción aun cuando muestran incrementos significativos en valores reales, su porcentaje de participación a nivel nacional ha disminuido. </w:t>
      </w:r>
    </w:p>
    <w:p w:rsidR="006C6266" w:rsidRDefault="006C6266" w:rsidP="006C6266">
      <w:r>
        <w:t>La economía regional descansa en la producción agropecuaria. Predominan las parcelas de temporal, destacando los cultivos de maíz, nopal, cebada, avena forrajera, frijol, haba seca, papa y trigo. Las áreas de riego producen, además de los granos básicos, papa, zanahoria, alfalfa, col y brócoli. En lo concerniente a la ganadería, en la región destaca la avicultura y la porcicultura; respecto de otras especies, la ganadería es de mala calidad genética, con escasa tecnificación y pocos pastizales importantes.</w:t>
      </w:r>
    </w:p>
    <w:p w:rsidR="00E16CD4" w:rsidRPr="00EA7F81" w:rsidRDefault="00E16CD4" w:rsidP="00E16CD4">
      <w:r>
        <w:t xml:space="preserve">En términos de PIB municipal, para el estado de Tlaxcala sobresale de forma predominante la participación de Huamantla, el cual absorbe por sí solo el 53.60% del PIB producido en los municipios tlaxcaltecas. Tal protagonismo surge a partir del desarrollo del sector terciario en sus rubros de industria y servicios. Sin embargo, en cuanto al PIB </w:t>
      </w:r>
      <w:r w:rsidRPr="00EA7F81">
        <w:rPr>
          <w:i/>
        </w:rPr>
        <w:t>per cápita</w:t>
      </w:r>
      <w:r>
        <w:t xml:space="preserve"> al año 2005, éste no presenta una relación directa en comparación con la participación porcentual del PIB municipal. Si bien, los municipios de Huamantla y </w:t>
      </w:r>
      <w:proofErr w:type="spellStart"/>
      <w:r>
        <w:t>Xalostoc</w:t>
      </w:r>
      <w:proofErr w:type="spellEnd"/>
      <w:r>
        <w:t xml:space="preserve"> son los de mayor ingreso </w:t>
      </w:r>
      <w:r w:rsidRPr="00EA7F81">
        <w:rPr>
          <w:i/>
        </w:rPr>
        <w:t>per cápita</w:t>
      </w:r>
      <w:r>
        <w:t xml:space="preserve">, también el municipio de </w:t>
      </w:r>
      <w:proofErr w:type="spellStart"/>
      <w:r>
        <w:t>Ixtenco</w:t>
      </w:r>
      <w:proofErr w:type="spellEnd"/>
      <w:r>
        <w:t xml:space="preserve"> presenta niveles similares aún cuando su participación municipal es menor al 5% del total</w:t>
      </w:r>
      <w:r w:rsidR="00A12830">
        <w:t>.</w:t>
      </w:r>
    </w:p>
    <w:p w:rsidR="00E16CD4" w:rsidRDefault="00E16CD4" w:rsidP="00E16CD4">
      <w:r>
        <w:t xml:space="preserve">Para el caso del estado de Puebla, la distribución del PIB municipal se encuentra mayormente homogenizada; solo </w:t>
      </w:r>
      <w:proofErr w:type="spellStart"/>
      <w:r>
        <w:t>Acajete</w:t>
      </w:r>
      <w:proofErr w:type="spellEnd"/>
      <w:r>
        <w:t xml:space="preserve"> y </w:t>
      </w:r>
      <w:proofErr w:type="spellStart"/>
      <w:r>
        <w:t>Chalchicomula</w:t>
      </w:r>
      <w:proofErr w:type="spellEnd"/>
      <w:r>
        <w:t xml:space="preserve"> de Sesma se aproximan ambos al 10% de participación individual. Cabe recordar que territorialmente, ambos municipios sólo participan de manera parcial dentro de la poligonal que conforma al acuífero Huamantla Libres-Oriental-Perote.</w:t>
      </w:r>
      <w:r w:rsidR="00A12830">
        <w:t xml:space="preserve"> </w:t>
      </w:r>
      <w:r>
        <w:t xml:space="preserve">Para el caso del PIB </w:t>
      </w:r>
      <w:r w:rsidRPr="00B63D6A">
        <w:rPr>
          <w:i/>
        </w:rPr>
        <w:t>per cápita</w:t>
      </w:r>
      <w:r>
        <w:t>, 15 municipios presentan ingresos por encima de los 30,000 MN anulaos, y sólo dos  por arriba de los 40,000 MN anuales (</w:t>
      </w:r>
      <w:proofErr w:type="spellStart"/>
      <w:r>
        <w:t>Ocotepec</w:t>
      </w:r>
      <w:proofErr w:type="spellEnd"/>
      <w:r>
        <w:t xml:space="preserve"> y Rafael Lara Grajales).</w:t>
      </w:r>
    </w:p>
    <w:p w:rsidR="00E16CD4" w:rsidRDefault="00E16CD4" w:rsidP="00E16CD4">
      <w:r>
        <w:lastRenderedPageBreak/>
        <w:t xml:space="preserve">Por su parte, para el caso de Veracruz, el municipio de Perote es el más sobresaliente en término de Producto Interno Bruto, individualmente colabora con el 36.73% del total veracruzano. Le siguen en orden de participación, </w:t>
      </w:r>
      <w:proofErr w:type="spellStart"/>
      <w:r>
        <w:t>Altotonga</w:t>
      </w:r>
      <w:proofErr w:type="spellEnd"/>
      <w:r>
        <w:t xml:space="preserve">, </w:t>
      </w:r>
      <w:proofErr w:type="spellStart"/>
      <w:r>
        <w:t>Atzalan</w:t>
      </w:r>
      <w:proofErr w:type="spellEnd"/>
      <w:r>
        <w:t xml:space="preserve"> y </w:t>
      </w:r>
      <w:proofErr w:type="spellStart"/>
      <w:r>
        <w:t>Jalancingo</w:t>
      </w:r>
      <w:proofErr w:type="spellEnd"/>
      <w:r>
        <w:t xml:space="preserve">, todos ellos participando territorialmente de manera parcial dentro del acuífero Perote; de hecho, </w:t>
      </w:r>
      <w:proofErr w:type="spellStart"/>
      <w:r>
        <w:t>Atzalan</w:t>
      </w:r>
      <w:proofErr w:type="spellEnd"/>
      <w:r>
        <w:t xml:space="preserve"> participa de manera muy limitada. El ingreso </w:t>
      </w:r>
      <w:r w:rsidRPr="00817320">
        <w:rPr>
          <w:i/>
        </w:rPr>
        <w:t>per cápita</w:t>
      </w:r>
      <w:r>
        <w:t xml:space="preserve"> es el mayor de entro los tres acuíferos, siendo Perote el más alto con 51, 838 MN anuales.</w:t>
      </w:r>
    </w:p>
    <w:p w:rsidR="00E16CD4" w:rsidRDefault="00E16CD4" w:rsidP="00A12830">
      <w:pPr>
        <w:pStyle w:val="figura1cap5"/>
      </w:pPr>
      <w:bookmarkStart w:id="38" w:name="_Ref264647044"/>
      <w:bookmarkStart w:id="39" w:name="_Toc273711743"/>
      <w:r>
        <w:t>Distribución del PIB municipal en el acuífero Huamantla-Libres Oriental-Perote (2005)</w:t>
      </w:r>
      <w:bookmarkEnd w:id="38"/>
      <w:bookmarkEnd w:id="39"/>
    </w:p>
    <w:p w:rsidR="00E16CD4" w:rsidRDefault="008011C2" w:rsidP="00E16CD4">
      <w:pPr>
        <w:ind w:firstLine="0"/>
        <w:jc w:val="center"/>
      </w:pPr>
      <w:r>
        <w:rPr>
          <w:noProof/>
          <w:lang w:eastAsia="es-MX"/>
        </w:rPr>
        <w:drawing>
          <wp:inline distT="0" distB="0" distL="0" distR="0">
            <wp:extent cx="4991100" cy="3838575"/>
            <wp:effectExtent l="19050" t="0" r="0" b="0"/>
            <wp:docPr id="13" name="Imagen 13" descr="PM_HOLP_P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M_HOLP_PIB"/>
                    <pic:cNvPicPr>
                      <a:picLocks noChangeAspect="1" noChangeArrowheads="1"/>
                    </pic:cNvPicPr>
                  </pic:nvPicPr>
                  <pic:blipFill>
                    <a:blip r:embed="rId24" cstate="print"/>
                    <a:srcRect l="5988" t="4745" r="3488" b="5241"/>
                    <a:stretch>
                      <a:fillRect/>
                    </a:stretch>
                  </pic:blipFill>
                  <pic:spPr bwMode="auto">
                    <a:xfrm>
                      <a:off x="0" y="0"/>
                      <a:ext cx="4991100" cy="3838575"/>
                    </a:xfrm>
                    <a:prstGeom prst="rect">
                      <a:avLst/>
                    </a:prstGeom>
                    <a:noFill/>
                    <a:ln w="9525">
                      <a:noFill/>
                      <a:miter lim="800000"/>
                      <a:headEnd/>
                      <a:tailEnd/>
                    </a:ln>
                  </pic:spPr>
                </pic:pic>
              </a:graphicData>
            </a:graphic>
          </wp:inline>
        </w:drawing>
      </w:r>
    </w:p>
    <w:p w:rsidR="003C7F1A" w:rsidRDefault="003C7F1A" w:rsidP="003C7F1A">
      <w:r>
        <w:t xml:space="preserve">Espacialmente, las cifras más altas de PIB municipal se localizan al poniente y noreste del acuífero HLOP, zonas en las cuales se superan los 3,000 MMDP (Huamantla y Perote), y en donde la actividad </w:t>
      </w:r>
      <w:r w:rsidR="00EB31B8">
        <w:t>s</w:t>
      </w:r>
      <w:r>
        <w:t>ecundaria y terciaria igualan o superan a la primaria. Sin embargo, aun cuando los municipios poblanos presentan las menores cifras de PIB  municipal, en conjunto, permiten que el estado de Puebla sea el de mayor participación dentro de la poligonal del acuífero Huamantla-Libres Oriental-Perote (52%), en segunda instancia se ubica Veracruz con el 27%, y finalmente, Tlaxcala con el 21%. Tomando en cuenta la distribución de Regiones Hidrológico Administrativas, la Región IV Balsas participaría con el 73% del total, mientras que Golfo Centro solo con 27% (</w:t>
      </w:r>
      <w:r w:rsidR="00BE2961">
        <w:fldChar w:fldCharType="begin"/>
      </w:r>
      <w:r>
        <w:instrText xml:space="preserve"> REF _Ref264647383 \r \h </w:instrText>
      </w:r>
      <w:r w:rsidR="00BE2961">
        <w:fldChar w:fldCharType="separate"/>
      </w:r>
      <w:r w:rsidR="001C36B4">
        <w:t>Gráfica 5.5</w:t>
      </w:r>
      <w:r w:rsidR="00BE2961">
        <w:fldChar w:fldCharType="end"/>
      </w:r>
      <w:r>
        <w:t>). La cifra total de PIB municipal para la totalidad del acuífero HLOP es de 31,679 MDP al año 2005.</w:t>
      </w:r>
    </w:p>
    <w:p w:rsidR="003C7F1A" w:rsidRDefault="003C7F1A" w:rsidP="00E16CD4">
      <w:pPr>
        <w:ind w:firstLine="0"/>
        <w:jc w:val="center"/>
      </w:pPr>
    </w:p>
    <w:p w:rsidR="00E16CD4" w:rsidRDefault="00E16CD4" w:rsidP="00A12830">
      <w:pPr>
        <w:pStyle w:val="figura1cap5"/>
      </w:pPr>
      <w:bookmarkStart w:id="40" w:name="_Ref264647050"/>
      <w:bookmarkStart w:id="41" w:name="_Toc273711744"/>
      <w:r>
        <w:lastRenderedPageBreak/>
        <w:t xml:space="preserve">Distribución espacial de actividades económicas en el acuífero Huamantla-Libres </w:t>
      </w:r>
      <w:r w:rsidR="00A12830">
        <w:t>O</w:t>
      </w:r>
      <w:r>
        <w:t>riental-Perote</w:t>
      </w:r>
      <w:bookmarkEnd w:id="40"/>
      <w:bookmarkEnd w:id="41"/>
    </w:p>
    <w:p w:rsidR="00E16CD4" w:rsidRDefault="008011C2" w:rsidP="00E16CD4">
      <w:pPr>
        <w:ind w:firstLine="0"/>
        <w:jc w:val="center"/>
      </w:pPr>
      <w:r>
        <w:rPr>
          <w:noProof/>
          <w:lang w:eastAsia="es-MX"/>
        </w:rPr>
        <w:drawing>
          <wp:inline distT="0" distB="0" distL="0" distR="0">
            <wp:extent cx="4724400" cy="3552825"/>
            <wp:effectExtent l="19050" t="0" r="0" b="0"/>
            <wp:docPr id="14" name="Imagen 14" descr="PM_HOLP_Act_Econo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M_HOLP_Act_Economica"/>
                    <pic:cNvPicPr>
                      <a:picLocks noChangeAspect="1" noChangeArrowheads="1"/>
                    </pic:cNvPicPr>
                  </pic:nvPicPr>
                  <pic:blipFill>
                    <a:blip r:embed="rId25" cstate="print"/>
                    <a:srcRect l="3674" t="4745" r="2890" b="4251"/>
                    <a:stretch>
                      <a:fillRect/>
                    </a:stretch>
                  </pic:blipFill>
                  <pic:spPr bwMode="auto">
                    <a:xfrm>
                      <a:off x="0" y="0"/>
                      <a:ext cx="4724400" cy="3552825"/>
                    </a:xfrm>
                    <a:prstGeom prst="rect">
                      <a:avLst/>
                    </a:prstGeom>
                    <a:noFill/>
                    <a:ln w="9525">
                      <a:noFill/>
                      <a:miter lim="800000"/>
                      <a:headEnd/>
                      <a:tailEnd/>
                    </a:ln>
                  </pic:spPr>
                </pic:pic>
              </a:graphicData>
            </a:graphic>
          </wp:inline>
        </w:drawing>
      </w:r>
    </w:p>
    <w:p w:rsidR="00A12830" w:rsidRDefault="00A12830" w:rsidP="00E16CD4"/>
    <w:p w:rsidR="00E16CD4" w:rsidRDefault="00E16CD4" w:rsidP="00A12830">
      <w:pPr>
        <w:pStyle w:val="Grafica1cap5"/>
      </w:pPr>
      <w:bookmarkStart w:id="42" w:name="_Ref264647383"/>
      <w:bookmarkStart w:id="43" w:name="_Toc273711788"/>
      <w:r>
        <w:t>Participación estatal del PIB municipal en el acuífero Huamantla-Libres Oriental-Perote(2005)</w:t>
      </w:r>
      <w:bookmarkEnd w:id="42"/>
      <w:bookmarkEnd w:id="43"/>
    </w:p>
    <w:p w:rsidR="00E16CD4" w:rsidRDefault="008011C2" w:rsidP="00E16CD4">
      <w:pPr>
        <w:jc w:val="center"/>
      </w:pPr>
      <w:r>
        <w:rPr>
          <w:noProof/>
          <w:lang w:eastAsia="es-MX"/>
        </w:rPr>
        <w:drawing>
          <wp:inline distT="0" distB="0" distL="0" distR="0">
            <wp:extent cx="4267200" cy="2533650"/>
            <wp:effectExtent l="1905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4267200" cy="2533650"/>
                    </a:xfrm>
                    <a:prstGeom prst="rect">
                      <a:avLst/>
                    </a:prstGeom>
                    <a:noFill/>
                    <a:ln w="9525">
                      <a:noFill/>
                      <a:miter lim="800000"/>
                      <a:headEnd/>
                      <a:tailEnd/>
                    </a:ln>
                  </pic:spPr>
                </pic:pic>
              </a:graphicData>
            </a:graphic>
          </wp:inline>
        </w:drawing>
      </w:r>
    </w:p>
    <w:p w:rsidR="00A12830" w:rsidRPr="00A12830" w:rsidRDefault="00A12830" w:rsidP="001D49F0">
      <w:pPr>
        <w:jc w:val="center"/>
        <w:outlineLvl w:val="0"/>
        <w:rPr>
          <w:sz w:val="18"/>
          <w:szCs w:val="18"/>
        </w:rPr>
      </w:pPr>
      <w:r w:rsidRPr="00A12830">
        <w:rPr>
          <w:sz w:val="18"/>
          <w:szCs w:val="18"/>
        </w:rPr>
        <w:t xml:space="preserve">Fuente. Instituto Nacional para el </w:t>
      </w:r>
      <w:r w:rsidR="00451C1A">
        <w:rPr>
          <w:sz w:val="18"/>
          <w:szCs w:val="18"/>
        </w:rPr>
        <w:t>F</w:t>
      </w:r>
      <w:r w:rsidRPr="00A12830">
        <w:rPr>
          <w:sz w:val="18"/>
          <w:szCs w:val="18"/>
        </w:rPr>
        <w:t>ederalismo y el Desarrollo Municipal</w:t>
      </w:r>
    </w:p>
    <w:p w:rsidR="00E16CD4" w:rsidRDefault="00E16CD4" w:rsidP="00A12830"/>
    <w:p w:rsidR="00E16CD4" w:rsidRDefault="00E16CD4" w:rsidP="00A12830">
      <w:pPr>
        <w:pStyle w:val="Tabla1cap5"/>
      </w:pPr>
      <w:bookmarkStart w:id="44" w:name="_Ref264651276"/>
      <w:bookmarkStart w:id="45" w:name="_Toc273711703"/>
      <w:r>
        <w:lastRenderedPageBreak/>
        <w:t>Información consolidada de PIB municipal para el acuífero HLOP</w:t>
      </w:r>
      <w:bookmarkEnd w:id="44"/>
      <w:bookmarkEnd w:id="45"/>
    </w:p>
    <w:tbl>
      <w:tblPr>
        <w:tblW w:w="9759" w:type="dxa"/>
        <w:jc w:val="center"/>
        <w:tblBorders>
          <w:top w:val="single" w:sz="12" w:space="0" w:color="008000"/>
          <w:bottom w:val="single" w:sz="12" w:space="0" w:color="008000"/>
        </w:tblBorders>
        <w:tblLook w:val="04A0"/>
      </w:tblPr>
      <w:tblGrid>
        <w:gridCol w:w="1208"/>
        <w:gridCol w:w="1208"/>
        <w:gridCol w:w="1496"/>
        <w:gridCol w:w="1617"/>
        <w:gridCol w:w="1608"/>
        <w:gridCol w:w="1652"/>
        <w:gridCol w:w="970"/>
      </w:tblGrid>
      <w:tr w:rsidR="00E16CD4" w:rsidRPr="002F1F34" w:rsidTr="003C7F1A">
        <w:trPr>
          <w:trHeight w:val="1014"/>
          <w:jc w:val="center"/>
        </w:trPr>
        <w:tc>
          <w:tcPr>
            <w:tcW w:w="1208" w:type="dxa"/>
            <w:tcBorders>
              <w:bottom w:val="single" w:sz="6" w:space="0" w:color="008000"/>
            </w:tcBorders>
            <w:shd w:val="clear" w:color="auto" w:fill="auto"/>
            <w:noWrap/>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Clave</w:t>
            </w:r>
          </w:p>
        </w:tc>
        <w:tc>
          <w:tcPr>
            <w:tcW w:w="1208" w:type="dxa"/>
            <w:tcBorders>
              <w:bottom w:val="single" w:sz="6" w:space="0" w:color="008000"/>
            </w:tcBorders>
            <w:shd w:val="clear" w:color="auto" w:fill="auto"/>
            <w:noWrap/>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Estado</w:t>
            </w:r>
          </w:p>
        </w:tc>
        <w:tc>
          <w:tcPr>
            <w:tcW w:w="1496" w:type="dxa"/>
            <w:tcBorders>
              <w:bottom w:val="single" w:sz="6" w:space="0" w:color="008000"/>
            </w:tcBorders>
            <w:shd w:val="clear" w:color="auto" w:fill="auto"/>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PIB 2005 en dólares (PPC de 2005)</w:t>
            </w:r>
          </w:p>
        </w:tc>
        <w:tc>
          <w:tcPr>
            <w:tcW w:w="1617" w:type="dxa"/>
            <w:tcBorders>
              <w:bottom w:val="single" w:sz="6" w:space="0" w:color="008000"/>
            </w:tcBorders>
            <w:shd w:val="clear" w:color="auto" w:fill="auto"/>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PIB per cápita 2005 en dólares (PPC de 2005)</w:t>
            </w:r>
          </w:p>
        </w:tc>
        <w:tc>
          <w:tcPr>
            <w:tcW w:w="1608" w:type="dxa"/>
            <w:tcBorders>
              <w:bottom w:val="single" w:sz="6" w:space="0" w:color="008000"/>
            </w:tcBorders>
            <w:shd w:val="clear" w:color="auto" w:fill="auto"/>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PIB 2005 en pesos a precios corrientes</w:t>
            </w:r>
          </w:p>
        </w:tc>
        <w:tc>
          <w:tcPr>
            <w:tcW w:w="1652" w:type="dxa"/>
            <w:tcBorders>
              <w:bottom w:val="single" w:sz="6" w:space="0" w:color="008000"/>
            </w:tcBorders>
            <w:shd w:val="clear" w:color="auto" w:fill="auto"/>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PIB per cápita 2005 en pesos a precios corrientes</w:t>
            </w:r>
          </w:p>
        </w:tc>
        <w:tc>
          <w:tcPr>
            <w:tcW w:w="970" w:type="dxa"/>
            <w:tcBorders>
              <w:bottom w:val="single" w:sz="6" w:space="0" w:color="008000"/>
            </w:tcBorders>
            <w:shd w:val="clear" w:color="auto" w:fill="auto"/>
            <w:vAlign w:val="center"/>
            <w:hideMark/>
          </w:tcPr>
          <w:p w:rsidR="00E16CD4" w:rsidRPr="004A1C6D" w:rsidRDefault="00E16CD4" w:rsidP="003C7F1A">
            <w:pPr>
              <w:spacing w:before="0" w:after="0" w:line="240" w:lineRule="auto"/>
              <w:ind w:firstLine="0"/>
              <w:jc w:val="center"/>
              <w:rPr>
                <w:rFonts w:eastAsia="Times New Roman" w:cs="Arial"/>
                <w:b/>
                <w:bCs/>
                <w:sz w:val="20"/>
                <w:lang w:eastAsia="es-MX"/>
              </w:rPr>
            </w:pPr>
            <w:r w:rsidRPr="004A1C6D">
              <w:rPr>
                <w:rFonts w:eastAsia="Times New Roman" w:cs="Arial"/>
                <w:b/>
                <w:bCs/>
                <w:sz w:val="20"/>
                <w:lang w:eastAsia="es-MX"/>
              </w:rPr>
              <w:t>% PIB</w:t>
            </w:r>
          </w:p>
        </w:tc>
      </w:tr>
      <w:tr w:rsidR="00E16CD4" w:rsidRPr="002F1F34" w:rsidTr="003C7F1A">
        <w:trPr>
          <w:trHeight w:val="300"/>
          <w:jc w:val="center"/>
        </w:trPr>
        <w:tc>
          <w:tcPr>
            <w:tcW w:w="1208" w:type="dxa"/>
            <w:shd w:val="clear" w:color="auto" w:fill="auto"/>
            <w:noWrap/>
            <w:hideMark/>
          </w:tcPr>
          <w:p w:rsidR="00E16CD4" w:rsidRPr="004A1C6D" w:rsidRDefault="00E16CD4" w:rsidP="003C7F1A">
            <w:pPr>
              <w:spacing w:before="0" w:after="0" w:line="240" w:lineRule="auto"/>
              <w:ind w:firstLine="0"/>
              <w:jc w:val="center"/>
              <w:rPr>
                <w:rFonts w:ascii="Calibri" w:eastAsia="Times New Roman" w:hAnsi="Calibri" w:cs="Times New Roman"/>
                <w:szCs w:val="22"/>
                <w:lang w:eastAsia="es-MX"/>
              </w:rPr>
            </w:pPr>
            <w:r w:rsidRPr="004A1C6D">
              <w:rPr>
                <w:rFonts w:ascii="Calibri" w:eastAsia="Times New Roman" w:hAnsi="Calibri" w:cs="Times New Roman"/>
                <w:szCs w:val="22"/>
                <w:lang w:eastAsia="es-MX"/>
              </w:rPr>
              <w:t>21</w:t>
            </w:r>
          </w:p>
        </w:tc>
        <w:tc>
          <w:tcPr>
            <w:tcW w:w="1208" w:type="dxa"/>
            <w:shd w:val="clear" w:color="auto" w:fill="auto"/>
            <w:noWrap/>
            <w:hideMark/>
          </w:tcPr>
          <w:p w:rsidR="00E16CD4" w:rsidRPr="004A1C6D" w:rsidRDefault="00E16CD4" w:rsidP="003C7F1A">
            <w:pPr>
              <w:spacing w:before="0" w:after="0" w:line="240" w:lineRule="auto"/>
              <w:ind w:firstLine="0"/>
              <w:jc w:val="left"/>
              <w:rPr>
                <w:rFonts w:ascii="Calibri" w:eastAsia="Times New Roman" w:hAnsi="Calibri" w:cs="Times New Roman"/>
                <w:szCs w:val="22"/>
                <w:lang w:eastAsia="es-MX"/>
              </w:rPr>
            </w:pPr>
            <w:r w:rsidRPr="004A1C6D">
              <w:rPr>
                <w:rFonts w:ascii="Calibri" w:eastAsia="Times New Roman" w:hAnsi="Calibri" w:cs="Times New Roman"/>
                <w:szCs w:val="22"/>
                <w:lang w:eastAsia="es-MX"/>
              </w:rPr>
              <w:t>Puebla</w:t>
            </w:r>
          </w:p>
        </w:tc>
        <w:tc>
          <w:tcPr>
            <w:tcW w:w="1496" w:type="dxa"/>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2,343,520,521</w:t>
            </w:r>
          </w:p>
        </w:tc>
        <w:tc>
          <w:tcPr>
            <w:tcW w:w="1617" w:type="dxa"/>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121,352</w:t>
            </w:r>
          </w:p>
        </w:tc>
        <w:tc>
          <w:tcPr>
            <w:tcW w:w="1608" w:type="dxa"/>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16,583,405,437</w:t>
            </w:r>
          </w:p>
        </w:tc>
        <w:tc>
          <w:tcPr>
            <w:tcW w:w="1652" w:type="dxa"/>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858,717</w:t>
            </w:r>
          </w:p>
        </w:tc>
        <w:tc>
          <w:tcPr>
            <w:tcW w:w="970" w:type="dxa"/>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52.35</w:t>
            </w:r>
          </w:p>
        </w:tc>
      </w:tr>
      <w:tr w:rsidR="00E16CD4" w:rsidRPr="002F1F34" w:rsidTr="003C7F1A">
        <w:trPr>
          <w:trHeight w:val="300"/>
          <w:jc w:val="center"/>
        </w:trPr>
        <w:tc>
          <w:tcPr>
            <w:tcW w:w="1208" w:type="dxa"/>
            <w:shd w:val="clear" w:color="auto" w:fill="auto"/>
            <w:noWrap/>
            <w:hideMark/>
          </w:tcPr>
          <w:p w:rsidR="00E16CD4" w:rsidRPr="004A1C6D" w:rsidRDefault="00E16CD4" w:rsidP="003C7F1A">
            <w:pPr>
              <w:spacing w:before="0" w:after="0" w:line="240" w:lineRule="auto"/>
              <w:ind w:firstLine="0"/>
              <w:jc w:val="center"/>
              <w:rPr>
                <w:rFonts w:ascii="Calibri" w:eastAsia="Times New Roman" w:hAnsi="Calibri" w:cs="Times New Roman"/>
                <w:szCs w:val="22"/>
                <w:lang w:eastAsia="es-MX"/>
              </w:rPr>
            </w:pPr>
            <w:r w:rsidRPr="004A1C6D">
              <w:rPr>
                <w:rFonts w:ascii="Calibri" w:eastAsia="Times New Roman" w:hAnsi="Calibri" w:cs="Times New Roman"/>
                <w:szCs w:val="22"/>
                <w:lang w:eastAsia="es-MX"/>
              </w:rPr>
              <w:t>29</w:t>
            </w:r>
          </w:p>
        </w:tc>
        <w:tc>
          <w:tcPr>
            <w:tcW w:w="1208" w:type="dxa"/>
            <w:shd w:val="clear" w:color="auto" w:fill="auto"/>
            <w:noWrap/>
            <w:hideMark/>
          </w:tcPr>
          <w:p w:rsidR="00E16CD4" w:rsidRPr="004A1C6D" w:rsidRDefault="00E16CD4" w:rsidP="003C7F1A">
            <w:pPr>
              <w:spacing w:before="0" w:after="0" w:line="240" w:lineRule="auto"/>
              <w:ind w:firstLine="0"/>
              <w:jc w:val="left"/>
              <w:rPr>
                <w:rFonts w:ascii="Calibri" w:eastAsia="Times New Roman" w:hAnsi="Calibri" w:cs="Times New Roman"/>
                <w:szCs w:val="22"/>
                <w:lang w:eastAsia="es-MX"/>
              </w:rPr>
            </w:pPr>
            <w:r w:rsidRPr="004A1C6D">
              <w:rPr>
                <w:rFonts w:ascii="Calibri" w:eastAsia="Times New Roman" w:hAnsi="Calibri" w:cs="Times New Roman"/>
                <w:szCs w:val="22"/>
                <w:lang w:eastAsia="es-MX"/>
              </w:rPr>
              <w:t>Tlaxcala</w:t>
            </w:r>
          </w:p>
        </w:tc>
        <w:tc>
          <w:tcPr>
            <w:tcW w:w="1496" w:type="dxa"/>
            <w:tcBorders>
              <w:bottom w:val="nil"/>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911,191,170</w:t>
            </w:r>
          </w:p>
        </w:tc>
        <w:tc>
          <w:tcPr>
            <w:tcW w:w="1617" w:type="dxa"/>
            <w:tcBorders>
              <w:bottom w:val="nil"/>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43,522</w:t>
            </w:r>
          </w:p>
        </w:tc>
        <w:tc>
          <w:tcPr>
            <w:tcW w:w="1608" w:type="dxa"/>
            <w:tcBorders>
              <w:bottom w:val="nil"/>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6,447,843,088</w:t>
            </w:r>
          </w:p>
        </w:tc>
        <w:tc>
          <w:tcPr>
            <w:tcW w:w="1652" w:type="dxa"/>
            <w:tcBorders>
              <w:bottom w:val="nil"/>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307,976</w:t>
            </w:r>
          </w:p>
        </w:tc>
        <w:tc>
          <w:tcPr>
            <w:tcW w:w="970" w:type="dxa"/>
            <w:tcBorders>
              <w:bottom w:val="nil"/>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20.35</w:t>
            </w:r>
          </w:p>
        </w:tc>
      </w:tr>
      <w:tr w:rsidR="00E16CD4" w:rsidRPr="002F1F34" w:rsidTr="003C7F1A">
        <w:trPr>
          <w:trHeight w:val="300"/>
          <w:jc w:val="center"/>
        </w:trPr>
        <w:tc>
          <w:tcPr>
            <w:tcW w:w="1208" w:type="dxa"/>
            <w:shd w:val="clear" w:color="auto" w:fill="auto"/>
            <w:noWrap/>
            <w:hideMark/>
          </w:tcPr>
          <w:p w:rsidR="00E16CD4" w:rsidRPr="004A1C6D" w:rsidRDefault="00E16CD4" w:rsidP="003C7F1A">
            <w:pPr>
              <w:spacing w:before="0" w:after="0" w:line="240" w:lineRule="auto"/>
              <w:ind w:firstLine="0"/>
              <w:jc w:val="center"/>
              <w:rPr>
                <w:rFonts w:ascii="Calibri" w:eastAsia="Times New Roman" w:hAnsi="Calibri" w:cs="Times New Roman"/>
                <w:szCs w:val="22"/>
                <w:lang w:eastAsia="es-MX"/>
              </w:rPr>
            </w:pPr>
            <w:r w:rsidRPr="004A1C6D">
              <w:rPr>
                <w:rFonts w:ascii="Calibri" w:eastAsia="Times New Roman" w:hAnsi="Calibri" w:cs="Times New Roman"/>
                <w:szCs w:val="22"/>
                <w:lang w:eastAsia="es-MX"/>
              </w:rPr>
              <w:t>30</w:t>
            </w:r>
          </w:p>
        </w:tc>
        <w:tc>
          <w:tcPr>
            <w:tcW w:w="1208" w:type="dxa"/>
            <w:shd w:val="clear" w:color="auto" w:fill="auto"/>
            <w:noWrap/>
            <w:hideMark/>
          </w:tcPr>
          <w:p w:rsidR="00E16CD4" w:rsidRPr="004A1C6D" w:rsidRDefault="00E16CD4" w:rsidP="003C7F1A">
            <w:pPr>
              <w:spacing w:before="0" w:after="0" w:line="240" w:lineRule="auto"/>
              <w:ind w:firstLine="0"/>
              <w:jc w:val="left"/>
              <w:rPr>
                <w:rFonts w:ascii="Calibri" w:eastAsia="Times New Roman" w:hAnsi="Calibri" w:cs="Times New Roman"/>
                <w:szCs w:val="22"/>
                <w:lang w:eastAsia="es-MX"/>
              </w:rPr>
            </w:pPr>
            <w:r w:rsidRPr="004A1C6D">
              <w:rPr>
                <w:rFonts w:ascii="Calibri" w:eastAsia="Times New Roman" w:hAnsi="Calibri" w:cs="Times New Roman"/>
                <w:szCs w:val="22"/>
                <w:lang w:eastAsia="es-MX"/>
              </w:rPr>
              <w:t>Veracruz</w:t>
            </w:r>
          </w:p>
        </w:tc>
        <w:tc>
          <w:tcPr>
            <w:tcW w:w="1496" w:type="dxa"/>
            <w:tcBorders>
              <w:top w:val="nil"/>
              <w:bottom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1,222,206,035</w:t>
            </w:r>
          </w:p>
        </w:tc>
        <w:tc>
          <w:tcPr>
            <w:tcW w:w="1617" w:type="dxa"/>
            <w:tcBorders>
              <w:top w:val="nil"/>
              <w:bottom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33,914</w:t>
            </w:r>
          </w:p>
        </w:tc>
        <w:tc>
          <w:tcPr>
            <w:tcW w:w="1608" w:type="dxa"/>
            <w:tcBorders>
              <w:top w:val="nil"/>
              <w:bottom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8,648,671,102</w:t>
            </w:r>
          </w:p>
        </w:tc>
        <w:tc>
          <w:tcPr>
            <w:tcW w:w="1652" w:type="dxa"/>
            <w:tcBorders>
              <w:top w:val="nil"/>
              <w:bottom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239,987</w:t>
            </w:r>
          </w:p>
        </w:tc>
        <w:tc>
          <w:tcPr>
            <w:tcW w:w="970" w:type="dxa"/>
            <w:tcBorders>
              <w:top w:val="nil"/>
              <w:bottom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27.30</w:t>
            </w:r>
          </w:p>
        </w:tc>
      </w:tr>
      <w:tr w:rsidR="00E16CD4" w:rsidRPr="002F1F34" w:rsidTr="003C7F1A">
        <w:trPr>
          <w:trHeight w:val="300"/>
          <w:jc w:val="center"/>
        </w:trPr>
        <w:tc>
          <w:tcPr>
            <w:tcW w:w="1208" w:type="dxa"/>
            <w:shd w:val="clear" w:color="auto" w:fill="auto"/>
            <w:noWrap/>
            <w:hideMark/>
          </w:tcPr>
          <w:p w:rsidR="00E16CD4" w:rsidRPr="004A1C6D" w:rsidRDefault="00E16CD4" w:rsidP="003C7F1A">
            <w:pPr>
              <w:spacing w:before="0" w:after="0" w:line="240" w:lineRule="auto"/>
              <w:ind w:firstLine="0"/>
              <w:jc w:val="left"/>
              <w:rPr>
                <w:rFonts w:ascii="Calibri" w:eastAsia="Times New Roman" w:hAnsi="Calibri" w:cs="Times New Roman"/>
                <w:szCs w:val="22"/>
                <w:lang w:eastAsia="es-MX"/>
              </w:rPr>
            </w:pPr>
          </w:p>
        </w:tc>
        <w:tc>
          <w:tcPr>
            <w:tcW w:w="1208" w:type="dxa"/>
            <w:shd w:val="clear" w:color="auto" w:fill="auto"/>
            <w:noWrap/>
            <w:hideMark/>
          </w:tcPr>
          <w:p w:rsidR="00E16CD4" w:rsidRPr="004A1C6D" w:rsidRDefault="00E16CD4" w:rsidP="003C7F1A">
            <w:pPr>
              <w:spacing w:before="0" w:after="0" w:line="240" w:lineRule="auto"/>
              <w:ind w:firstLine="0"/>
              <w:jc w:val="left"/>
              <w:rPr>
                <w:rFonts w:ascii="Calibri" w:eastAsia="Times New Roman" w:hAnsi="Calibri" w:cs="Times New Roman"/>
                <w:szCs w:val="22"/>
                <w:lang w:eastAsia="es-MX"/>
              </w:rPr>
            </w:pPr>
          </w:p>
        </w:tc>
        <w:tc>
          <w:tcPr>
            <w:tcW w:w="1496" w:type="dxa"/>
            <w:tcBorders>
              <w:top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4,476,917,726</w:t>
            </w:r>
          </w:p>
        </w:tc>
        <w:tc>
          <w:tcPr>
            <w:tcW w:w="1617" w:type="dxa"/>
            <w:tcBorders>
              <w:top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198,788</w:t>
            </w:r>
          </w:p>
        </w:tc>
        <w:tc>
          <w:tcPr>
            <w:tcW w:w="1608" w:type="dxa"/>
            <w:tcBorders>
              <w:top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31,679,919,628</w:t>
            </w:r>
          </w:p>
        </w:tc>
        <w:tc>
          <w:tcPr>
            <w:tcW w:w="1652" w:type="dxa"/>
            <w:tcBorders>
              <w:top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1,406,681</w:t>
            </w:r>
          </w:p>
        </w:tc>
        <w:tc>
          <w:tcPr>
            <w:tcW w:w="970" w:type="dxa"/>
            <w:tcBorders>
              <w:top w:val="single" w:sz="8" w:space="0" w:color="4F6228"/>
            </w:tcBorders>
            <w:shd w:val="clear" w:color="auto" w:fill="auto"/>
            <w:noWrap/>
            <w:hideMark/>
          </w:tcPr>
          <w:p w:rsidR="00E16CD4" w:rsidRPr="004A1C6D" w:rsidRDefault="00E16CD4" w:rsidP="003C7F1A">
            <w:pPr>
              <w:spacing w:before="0" w:after="0" w:line="240" w:lineRule="auto"/>
              <w:ind w:firstLine="0"/>
              <w:jc w:val="right"/>
              <w:rPr>
                <w:rFonts w:ascii="Calibri" w:eastAsia="Times New Roman" w:hAnsi="Calibri" w:cs="Times New Roman"/>
                <w:szCs w:val="22"/>
                <w:lang w:eastAsia="es-MX"/>
              </w:rPr>
            </w:pPr>
            <w:r w:rsidRPr="004A1C6D">
              <w:rPr>
                <w:rFonts w:ascii="Calibri" w:eastAsia="Times New Roman" w:hAnsi="Calibri" w:cs="Times New Roman"/>
                <w:szCs w:val="22"/>
                <w:lang w:eastAsia="es-MX"/>
              </w:rPr>
              <w:t>100.00</w:t>
            </w:r>
          </w:p>
        </w:tc>
      </w:tr>
    </w:tbl>
    <w:p w:rsidR="00E16CD4" w:rsidRPr="00A12830" w:rsidRDefault="00A12830" w:rsidP="00E16CD4">
      <w:pPr>
        <w:rPr>
          <w:sz w:val="18"/>
          <w:szCs w:val="18"/>
        </w:rPr>
      </w:pPr>
      <w:r w:rsidRPr="00A12830">
        <w:rPr>
          <w:sz w:val="18"/>
          <w:szCs w:val="18"/>
        </w:rPr>
        <w:t xml:space="preserve">Fuente. Instituto Nacional para el </w:t>
      </w:r>
      <w:r w:rsidR="00451C1A">
        <w:rPr>
          <w:sz w:val="18"/>
          <w:szCs w:val="18"/>
        </w:rPr>
        <w:t>F</w:t>
      </w:r>
      <w:r w:rsidRPr="00A12830">
        <w:rPr>
          <w:sz w:val="18"/>
          <w:szCs w:val="18"/>
        </w:rPr>
        <w:t>ederalismo y el Desarrollo Municipal</w:t>
      </w:r>
    </w:p>
    <w:p w:rsidR="008929F8" w:rsidRDefault="008929F8" w:rsidP="008929F8">
      <w:pPr>
        <w:pStyle w:val="Ttulo2"/>
      </w:pPr>
      <w:bookmarkStart w:id="46" w:name="_Toc283886447"/>
      <w:r>
        <w:t>Evaluación de programas relativos al manejo del agua</w:t>
      </w:r>
      <w:bookmarkEnd w:id="46"/>
    </w:p>
    <w:p w:rsidR="008929F8" w:rsidRPr="00B411AC" w:rsidRDefault="00605307" w:rsidP="008011C2">
      <w:pPr>
        <w:outlineLvl w:val="0"/>
        <w:rPr>
          <w:rFonts w:ascii="Arial Rounded MT Bold" w:hAnsi="Arial Rounded MT Bold"/>
          <w:smallCaps/>
          <w:sz w:val="24"/>
          <w:szCs w:val="24"/>
        </w:rPr>
      </w:pPr>
      <w:r w:rsidRPr="00B411AC">
        <w:rPr>
          <w:rFonts w:ascii="Arial Rounded MT Bold" w:hAnsi="Arial Rounded MT Bold"/>
          <w:smallCaps/>
          <w:sz w:val="24"/>
          <w:szCs w:val="24"/>
        </w:rPr>
        <w:t xml:space="preserve">Programas </w:t>
      </w:r>
      <w:r w:rsidR="00EB31B8" w:rsidRPr="00B411AC">
        <w:rPr>
          <w:rFonts w:ascii="Arial Rounded MT Bold" w:hAnsi="Arial Rounded MT Bold"/>
          <w:smallCaps/>
          <w:sz w:val="24"/>
          <w:szCs w:val="24"/>
        </w:rPr>
        <w:t>hidroagrícolas</w:t>
      </w:r>
    </w:p>
    <w:p w:rsidR="00FE2597" w:rsidRDefault="00605307" w:rsidP="00605307">
      <w:r>
        <w:t>A</w:t>
      </w:r>
      <w:r w:rsidRPr="00270EC3">
        <w:t xml:space="preserve"> partir del ejercicio fiscal 2009</w:t>
      </w:r>
      <w:r>
        <w:t xml:space="preserve">, los </w:t>
      </w:r>
      <w:r w:rsidRPr="00270EC3">
        <w:t xml:space="preserve">programas de </w:t>
      </w:r>
      <w:r>
        <w:t>Uso Eficiente de Agua y Energía Eléctrica (</w:t>
      </w:r>
      <w:r w:rsidRPr="00270EC3">
        <w:t>UEAEE</w:t>
      </w:r>
      <w:r>
        <w:t>)</w:t>
      </w:r>
      <w:r w:rsidRPr="00270EC3">
        <w:t xml:space="preserve"> y de </w:t>
      </w:r>
      <w:r>
        <w:t>Uso Pleno de Infraestructura Hidroagrícola (</w:t>
      </w:r>
      <w:r w:rsidRPr="00270EC3">
        <w:t>UPIH</w:t>
      </w:r>
      <w:r>
        <w:t>)</w:t>
      </w:r>
      <w:r w:rsidRPr="00270EC3">
        <w:t xml:space="preserve"> se han fusionado en uno solo </w:t>
      </w:r>
      <w:r w:rsidR="00FB21D4">
        <w:t xml:space="preserve">programa llamado </w:t>
      </w:r>
      <w:r w:rsidRPr="00270EC3">
        <w:t>Modernización y Tecnificación de Unidades de Riego</w:t>
      </w:r>
      <w:r w:rsidR="0030665A">
        <w:t xml:space="preserve"> (MTUR)</w:t>
      </w:r>
      <w:r w:rsidR="00FE2597">
        <w:t xml:space="preserve">. </w:t>
      </w:r>
    </w:p>
    <w:p w:rsidR="00FB21D4" w:rsidRDefault="00605307" w:rsidP="00605307">
      <w:r>
        <w:t xml:space="preserve">El objetivo </w:t>
      </w:r>
      <w:r w:rsidR="00FB21D4">
        <w:t xml:space="preserve">de este programa </w:t>
      </w:r>
      <w:r>
        <w:t xml:space="preserve">es contribuir al mejoramiento de la productividad del agua mediante un manejo eficiente, eficaz y sustentable del recurso </w:t>
      </w:r>
      <w:r w:rsidR="00FB21D4">
        <w:t>hídrico</w:t>
      </w:r>
      <w:r>
        <w:t xml:space="preserve"> en la agricultura de riego, a través de apoyos a los productores agrícolas </w:t>
      </w:r>
      <w:r w:rsidR="00FE2597">
        <w:t>d</w:t>
      </w:r>
      <w:r w:rsidR="00FB21D4">
        <w:t>e unidades</w:t>
      </w:r>
      <w:r w:rsidR="00FE2597">
        <w:t xml:space="preserve"> y algunos pertenecientes a</w:t>
      </w:r>
      <w:r w:rsidR="00FB21D4">
        <w:t xml:space="preserve"> distritos de riego, fomentando la modernización y tecnificación de la infraestructura hidroagrícola por medio de acciones </w:t>
      </w:r>
      <w:r w:rsidR="00FE2597">
        <w:t xml:space="preserve">especificas como son </w:t>
      </w:r>
      <w:r w:rsidR="00FB21D4">
        <w:t xml:space="preserve">la tecnificación de sistemas de riego, incremento de eficiencias de conducción y aplicación de agua de riego, fomento para la sustentabilidad del recurso hídrico, y eficiencia </w:t>
      </w:r>
      <w:r w:rsidR="00FE2597">
        <w:t xml:space="preserve">en la </w:t>
      </w:r>
      <w:r w:rsidR="00FB21D4">
        <w:t xml:space="preserve">aplicación de recursos. </w:t>
      </w:r>
      <w:r>
        <w:t xml:space="preserve"> </w:t>
      </w:r>
    </w:p>
    <w:p w:rsidR="00FE2597" w:rsidRDefault="00605307" w:rsidP="00FE2597">
      <w:r>
        <w:t xml:space="preserve">El esquema general de inversión </w:t>
      </w:r>
      <w:r w:rsidR="00FE2597">
        <w:t xml:space="preserve">implica que </w:t>
      </w:r>
      <w:r>
        <w:t xml:space="preserve">CONAGUA, a través </w:t>
      </w:r>
      <w:r w:rsidR="00FE2597">
        <w:t>de un</w:t>
      </w:r>
      <w:r>
        <w:t xml:space="preserve"> fideicomiso estatal aporta el 50% de la inversión requerida, </w:t>
      </w:r>
      <w:r w:rsidR="00FE2597">
        <w:t xml:space="preserve">y los gobiernos estatales y los productores el 50% restante. En algunos casos los gobiernos municipales,  pueden apoyar con cantidades variables a los usuarios de estas obras, para reducir aún más el monto de participación de los usuarios. </w:t>
      </w:r>
    </w:p>
    <w:p w:rsidR="00605307" w:rsidRDefault="00605307" w:rsidP="00FE2597">
      <w:r>
        <w:t>Para el caso del estado de Veracruz, el programa es administrado por el “Fideicomiso Veracruzano de Fomento Agropecuario y Pesquero” (FIVERFAP), donde el esquema de inversión es:</w:t>
      </w:r>
      <w:r w:rsidR="00FE2597">
        <w:t xml:space="preserve"> </w:t>
      </w:r>
      <w:r>
        <w:t>Gobierno Federal (CONAGUA)</w:t>
      </w:r>
      <w:r w:rsidR="00FE2597">
        <w:t xml:space="preserve">, </w:t>
      </w:r>
      <w:r>
        <w:tab/>
        <w:t>50%</w:t>
      </w:r>
      <w:r w:rsidR="00FE2597">
        <w:t xml:space="preserve">; Gobierno Estatal, 35%, y Usuario Beneficiad, </w:t>
      </w:r>
      <w:r>
        <w:t>15%</w:t>
      </w:r>
      <w:r w:rsidR="00FE2597">
        <w:t>.</w:t>
      </w:r>
    </w:p>
    <w:p w:rsidR="00915C68" w:rsidRDefault="00915C68" w:rsidP="00915C68">
      <w:r>
        <w:t xml:space="preserve">Para el caso del acuífero Libres-oriental, en el </w:t>
      </w:r>
      <w:r w:rsidRPr="009C3E63">
        <w:t>período 1999-2009, se beneficia</w:t>
      </w:r>
      <w:r>
        <w:t xml:space="preserve">ron </w:t>
      </w:r>
      <w:r w:rsidRPr="009C3E63">
        <w:t>alrededor de 7,152 ha, superficie que representa más del 30% de la se</w:t>
      </w:r>
      <w:r>
        <w:t>mbrada en el acuífero. L</w:t>
      </w:r>
      <w:r w:rsidRPr="009C3E63">
        <w:t>a inversión por hectárea ha sido entre $5,962.12 y $9,156 MN, cantidad por debajo de los requerimientos de inversi</w:t>
      </w:r>
      <w:r>
        <w:t>ón para una tecnificación total, sin embargo el</w:t>
      </w:r>
      <w:r w:rsidRPr="009C3E63">
        <w:t xml:space="preserve"> programa </w:t>
      </w:r>
      <w:r>
        <w:t>MTUR</w:t>
      </w:r>
      <w:r w:rsidRPr="009C3E63">
        <w:t xml:space="preserve"> ha sido benéfico, las inversiones promedio por hectárea realizadas en los programas UEAEE-UPI</w:t>
      </w:r>
      <w:r>
        <w:t>H fueron del orden de $5,962.12, c</w:t>
      </w:r>
      <w:r w:rsidRPr="009C3E63">
        <w:t>on el inicio del programa de MTUR la inversión promedio por hectár</w:t>
      </w:r>
      <w:r>
        <w:t>ea subió a  $9,15</w:t>
      </w:r>
      <w:r w:rsidR="00E82174">
        <w:t>6.49</w:t>
      </w:r>
      <w:r w:rsidR="009C3924">
        <w:t xml:space="preserve"> para el año 2009 (</w:t>
      </w:r>
      <w:r w:rsidR="00BE2961">
        <w:fldChar w:fldCharType="begin"/>
      </w:r>
      <w:r w:rsidR="009C3924">
        <w:instrText xml:space="preserve"> REF _Ref262471591 \r \h </w:instrText>
      </w:r>
      <w:r w:rsidR="00BE2961">
        <w:fldChar w:fldCharType="separate"/>
      </w:r>
      <w:r w:rsidR="001C36B4">
        <w:t>Tabla 5.9</w:t>
      </w:r>
      <w:r w:rsidR="00BE2961">
        <w:fldChar w:fldCharType="end"/>
      </w:r>
      <w:r w:rsidR="009C3924">
        <w:t>)</w:t>
      </w:r>
    </w:p>
    <w:p w:rsidR="003C7F1A" w:rsidRDefault="003C7F1A" w:rsidP="00915C68"/>
    <w:p w:rsidR="002E433F" w:rsidRDefault="002E433F" w:rsidP="00BA4A11">
      <w:pPr>
        <w:pStyle w:val="Grafica1cap5"/>
      </w:pPr>
      <w:r>
        <w:lastRenderedPageBreak/>
        <w:t xml:space="preserve">Dinámica de </w:t>
      </w:r>
      <w:r w:rsidR="005F5BDE">
        <w:t>inversión en programas hidroagrí</w:t>
      </w:r>
      <w:r>
        <w:t>colas en el acuífero Libres-Oriental.</w:t>
      </w:r>
      <w:r w:rsidR="00BA4A11">
        <w:t xml:space="preserve"> </w:t>
      </w:r>
      <w:r>
        <w:t>Alianza para el campo</w:t>
      </w:r>
      <w:r w:rsidR="00BA4A11">
        <w:t xml:space="preserve">: </w:t>
      </w:r>
      <w:r>
        <w:t>1999-2009</w:t>
      </w:r>
      <w:r w:rsidR="00BA4A11">
        <w:t>. (Miles de pesos)</w:t>
      </w:r>
      <w:r w:rsidR="005E6F69">
        <w:t xml:space="preserve"> </w:t>
      </w:r>
    </w:p>
    <w:p w:rsidR="002E433F" w:rsidRDefault="00EC2D5E" w:rsidP="00BA4A11">
      <w:pPr>
        <w:ind w:firstLine="0"/>
        <w:jc w:val="center"/>
      </w:pPr>
      <w:r w:rsidRPr="00EC2D5E">
        <w:rPr>
          <w:noProof/>
          <w:lang w:eastAsia="es-MX"/>
        </w:rPr>
        <w:drawing>
          <wp:inline distT="0" distB="0" distL="0" distR="0">
            <wp:extent cx="5413832" cy="3325091"/>
            <wp:effectExtent l="19050" t="0" r="0" b="0"/>
            <wp:docPr id="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19868" cy="3328798"/>
                    </a:xfrm>
                    <a:prstGeom prst="rect">
                      <a:avLst/>
                    </a:prstGeom>
                    <a:noFill/>
                    <a:ln w="9525">
                      <a:noFill/>
                      <a:miter lim="800000"/>
                      <a:headEnd/>
                      <a:tailEnd/>
                    </a:ln>
                  </pic:spPr>
                </pic:pic>
              </a:graphicData>
            </a:graphic>
          </wp:inline>
        </w:drawing>
      </w:r>
    </w:p>
    <w:p w:rsidR="00605307" w:rsidRDefault="00605307" w:rsidP="001D49F0">
      <w:pPr>
        <w:jc w:val="center"/>
        <w:outlineLvl w:val="0"/>
        <w:rPr>
          <w:rFonts w:cs="Arial"/>
          <w:sz w:val="18"/>
          <w:szCs w:val="18"/>
          <w:lang w:val="es-ES"/>
        </w:rPr>
      </w:pPr>
      <w:r w:rsidRPr="007F337A">
        <w:rPr>
          <w:rFonts w:cs="Arial"/>
          <w:sz w:val="18"/>
          <w:szCs w:val="18"/>
          <w:lang w:val="es-ES"/>
        </w:rPr>
        <w:t xml:space="preserve">Fuente: </w:t>
      </w:r>
      <w:r>
        <w:rPr>
          <w:rFonts w:cs="Arial"/>
          <w:sz w:val="18"/>
          <w:szCs w:val="18"/>
          <w:lang w:val="es-ES"/>
        </w:rPr>
        <w:t>Dirección Local Puebla</w:t>
      </w:r>
    </w:p>
    <w:p w:rsidR="00BA4A11" w:rsidRDefault="00BA4A11" w:rsidP="00BA4A11">
      <w:pPr>
        <w:pStyle w:val="Grafica1cap5"/>
      </w:pPr>
      <w:r>
        <w:t xml:space="preserve">Dinámica de inversión en programas </w:t>
      </w:r>
      <w:r w:rsidR="005F5BDE">
        <w:t>hidroagrícolas</w:t>
      </w:r>
      <w:r>
        <w:t xml:space="preserve"> en el acuífero Huamantla. Alianza para el campo: 2005-2009. (Miles de pesos)</w:t>
      </w:r>
      <w:r w:rsidR="005E6F69">
        <w:t xml:space="preserve">  </w:t>
      </w:r>
    </w:p>
    <w:p w:rsidR="00BA4A11" w:rsidRDefault="00EC2D5E" w:rsidP="00BA4A11">
      <w:pPr>
        <w:ind w:firstLine="0"/>
        <w:jc w:val="center"/>
        <w:rPr>
          <w:lang w:val="es-ES"/>
        </w:rPr>
      </w:pPr>
      <w:r w:rsidRPr="00EC2D5E">
        <w:rPr>
          <w:noProof/>
          <w:lang w:eastAsia="es-MX"/>
        </w:rPr>
        <w:drawing>
          <wp:inline distT="0" distB="0" distL="0" distR="0">
            <wp:extent cx="5388880" cy="3206337"/>
            <wp:effectExtent l="19050" t="0" r="2270" b="0"/>
            <wp:docPr id="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5389008" cy="3206413"/>
                    </a:xfrm>
                    <a:prstGeom prst="rect">
                      <a:avLst/>
                    </a:prstGeom>
                    <a:noFill/>
                    <a:ln w="9525">
                      <a:noFill/>
                      <a:miter lim="800000"/>
                      <a:headEnd/>
                      <a:tailEnd/>
                    </a:ln>
                  </pic:spPr>
                </pic:pic>
              </a:graphicData>
            </a:graphic>
          </wp:inline>
        </w:drawing>
      </w:r>
    </w:p>
    <w:p w:rsidR="00605307" w:rsidRDefault="00605307" w:rsidP="001D49F0">
      <w:pPr>
        <w:jc w:val="center"/>
        <w:outlineLvl w:val="0"/>
        <w:rPr>
          <w:sz w:val="18"/>
          <w:szCs w:val="18"/>
        </w:rPr>
      </w:pPr>
      <w:r w:rsidRPr="008B6B52">
        <w:rPr>
          <w:sz w:val="18"/>
          <w:szCs w:val="18"/>
        </w:rPr>
        <w:t>Fuente: Dirección Local Tlaxcala</w:t>
      </w:r>
    </w:p>
    <w:p w:rsidR="00BA4A11" w:rsidRDefault="00BA4A11" w:rsidP="00BA4A11">
      <w:pPr>
        <w:pStyle w:val="Grafica1cap5"/>
      </w:pPr>
      <w:r>
        <w:lastRenderedPageBreak/>
        <w:t xml:space="preserve">Dinámica de inversión en programas </w:t>
      </w:r>
      <w:r w:rsidR="005F5BDE">
        <w:t>hidroagrícolas</w:t>
      </w:r>
      <w:r>
        <w:t xml:space="preserve"> en el acuífero </w:t>
      </w:r>
      <w:r w:rsidR="00915C68">
        <w:t>Perote-Zalayeta</w:t>
      </w:r>
      <w:r>
        <w:t>. Alianza para el campo: 2005-200</w:t>
      </w:r>
      <w:r w:rsidR="00915C68">
        <w:t>7</w:t>
      </w:r>
      <w:r>
        <w:t>. (Miles de pesos)</w:t>
      </w:r>
      <w:r w:rsidR="005E6F69">
        <w:t xml:space="preserve">  </w:t>
      </w:r>
    </w:p>
    <w:p w:rsidR="00BA4A11" w:rsidRDefault="00E432B5" w:rsidP="00BA4A11">
      <w:pPr>
        <w:ind w:firstLine="0"/>
        <w:jc w:val="center"/>
      </w:pPr>
      <w:r w:rsidRPr="00E432B5">
        <w:rPr>
          <w:noProof/>
          <w:lang w:eastAsia="es-MX"/>
        </w:rPr>
        <w:drawing>
          <wp:inline distT="0" distB="0" distL="0" distR="0">
            <wp:extent cx="5396099" cy="3117585"/>
            <wp:effectExtent l="19050" t="0" r="0" b="0"/>
            <wp:docPr id="8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5406316" cy="3123488"/>
                    </a:xfrm>
                    <a:prstGeom prst="rect">
                      <a:avLst/>
                    </a:prstGeom>
                    <a:noFill/>
                    <a:ln w="9525">
                      <a:noFill/>
                      <a:miter lim="800000"/>
                      <a:headEnd/>
                      <a:tailEnd/>
                    </a:ln>
                  </pic:spPr>
                </pic:pic>
              </a:graphicData>
            </a:graphic>
          </wp:inline>
        </w:drawing>
      </w:r>
    </w:p>
    <w:p w:rsidR="00605307" w:rsidRDefault="00605307" w:rsidP="001D49F0">
      <w:pPr>
        <w:jc w:val="center"/>
        <w:outlineLvl w:val="0"/>
        <w:rPr>
          <w:rFonts w:cs="Arial"/>
          <w:sz w:val="18"/>
          <w:szCs w:val="18"/>
          <w:lang w:val="es-ES"/>
        </w:rPr>
      </w:pPr>
      <w:r w:rsidRPr="007F337A">
        <w:rPr>
          <w:rFonts w:cs="Arial"/>
          <w:sz w:val="18"/>
          <w:szCs w:val="18"/>
          <w:lang w:val="es-ES"/>
        </w:rPr>
        <w:t>Fuente: Organismo de Cuenca Golfo Centro</w:t>
      </w:r>
    </w:p>
    <w:p w:rsidR="00605307" w:rsidRPr="00292CC9" w:rsidRDefault="00605307" w:rsidP="00915C68">
      <w:pPr>
        <w:pStyle w:val="Tabla1cap5"/>
      </w:pPr>
      <w:bookmarkStart w:id="47" w:name="_Ref262471591"/>
      <w:bookmarkStart w:id="48" w:name="_Toc262472927"/>
      <w:r>
        <w:t>Indicadores de los beneficios y participación de las inversiones realizadas en el A</w:t>
      </w:r>
      <w:r w:rsidRPr="00292CC9">
        <w:t>cuífero Libres-Orienta</w:t>
      </w:r>
      <w:r>
        <w:t xml:space="preserve">l, Puebla en el periodo 1999-200, </w:t>
      </w:r>
      <w:r w:rsidRPr="00292CC9">
        <w:t>Alianza Para El Campo</w:t>
      </w:r>
      <w:bookmarkEnd w:id="47"/>
      <w:bookmarkEnd w:id="48"/>
    </w:p>
    <w:tbl>
      <w:tblPr>
        <w:tblW w:w="5000" w:type="pct"/>
        <w:tblBorders>
          <w:top w:val="single" w:sz="12" w:space="0" w:color="008000"/>
          <w:bottom w:val="single" w:sz="12" w:space="0" w:color="008000"/>
        </w:tblBorders>
        <w:tblLook w:val="04A0"/>
      </w:tblPr>
      <w:tblGrid>
        <w:gridCol w:w="1758"/>
        <w:gridCol w:w="828"/>
        <w:gridCol w:w="1082"/>
        <w:gridCol w:w="899"/>
        <w:gridCol w:w="1369"/>
        <w:gridCol w:w="951"/>
        <w:gridCol w:w="919"/>
        <w:gridCol w:w="963"/>
        <w:gridCol w:w="1135"/>
      </w:tblGrid>
      <w:tr w:rsidR="00605307" w:rsidRPr="00D57DAF" w:rsidTr="00E82174">
        <w:trPr>
          <w:trHeight w:val="20"/>
          <w:tblHeader/>
        </w:trPr>
        <w:tc>
          <w:tcPr>
            <w:tcW w:w="888" w:type="pct"/>
            <w:vMerge w:val="restar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Programa</w:t>
            </w:r>
          </w:p>
        </w:tc>
        <w:tc>
          <w:tcPr>
            <w:tcW w:w="2108" w:type="pct"/>
            <w:gridSpan w:val="4"/>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META</w:t>
            </w:r>
          </w:p>
        </w:tc>
        <w:tc>
          <w:tcPr>
            <w:tcW w:w="480"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sz w:val="18"/>
                <w:szCs w:val="18"/>
              </w:rPr>
            </w:pPr>
          </w:p>
        </w:tc>
        <w:tc>
          <w:tcPr>
            <w:tcW w:w="1524" w:type="pct"/>
            <w:gridSpan w:val="3"/>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sz w:val="18"/>
                <w:szCs w:val="18"/>
              </w:rPr>
            </w:pPr>
            <w:r w:rsidRPr="00D57DAF">
              <w:rPr>
                <w:rFonts w:eastAsia="Times New Roman" w:cs="Arial"/>
                <w:sz w:val="18"/>
                <w:szCs w:val="18"/>
              </w:rPr>
              <w:t>% de participación en inversión</w:t>
            </w:r>
          </w:p>
        </w:tc>
      </w:tr>
      <w:tr w:rsidR="00605307" w:rsidRPr="00D57DAF" w:rsidTr="00E82174">
        <w:trPr>
          <w:trHeight w:val="20"/>
          <w:tblHeader/>
        </w:trPr>
        <w:tc>
          <w:tcPr>
            <w:tcW w:w="888" w:type="pct"/>
            <w:vMerge/>
            <w:tcBorders>
              <w:bottom w:val="single" w:sz="6" w:space="0" w:color="008000"/>
            </w:tcBorders>
            <w:shd w:val="clear" w:color="auto" w:fill="auto"/>
            <w:hideMark/>
          </w:tcPr>
          <w:p w:rsidR="00605307" w:rsidRPr="00D57DAF" w:rsidRDefault="00605307" w:rsidP="00056F37">
            <w:pPr>
              <w:spacing w:before="0" w:after="20" w:line="240" w:lineRule="auto"/>
              <w:ind w:firstLine="0"/>
              <w:jc w:val="left"/>
              <w:rPr>
                <w:rFonts w:eastAsia="Times New Roman" w:cs="Arial"/>
                <w:b/>
                <w:bCs/>
                <w:sz w:val="18"/>
                <w:szCs w:val="18"/>
              </w:rPr>
            </w:pPr>
          </w:p>
        </w:tc>
        <w:tc>
          <w:tcPr>
            <w:tcW w:w="418"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Ha</w:t>
            </w:r>
          </w:p>
        </w:tc>
        <w:tc>
          <w:tcPr>
            <w:tcW w:w="546"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$/ha</w:t>
            </w:r>
          </w:p>
        </w:tc>
        <w:tc>
          <w:tcPr>
            <w:tcW w:w="454"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Us</w:t>
            </w:r>
            <w:r>
              <w:rPr>
                <w:rFonts w:eastAsia="Times New Roman" w:cs="Arial"/>
                <w:b/>
                <w:bCs/>
                <w:sz w:val="18"/>
                <w:szCs w:val="18"/>
              </w:rPr>
              <w:t>uario</w:t>
            </w:r>
          </w:p>
        </w:tc>
        <w:tc>
          <w:tcPr>
            <w:tcW w:w="691"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$/Us</w:t>
            </w:r>
            <w:r>
              <w:rPr>
                <w:rFonts w:eastAsia="Times New Roman" w:cs="Arial"/>
                <w:b/>
                <w:bCs/>
                <w:sz w:val="18"/>
                <w:szCs w:val="18"/>
              </w:rPr>
              <w:t>uario</w:t>
            </w:r>
          </w:p>
        </w:tc>
        <w:tc>
          <w:tcPr>
            <w:tcW w:w="480"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Ha/</w:t>
            </w:r>
            <w:proofErr w:type="spellStart"/>
            <w:r w:rsidRPr="00D57DAF">
              <w:rPr>
                <w:rFonts w:eastAsia="Times New Roman" w:cs="Arial"/>
                <w:b/>
                <w:bCs/>
                <w:sz w:val="18"/>
                <w:szCs w:val="18"/>
              </w:rPr>
              <w:t>Us</w:t>
            </w:r>
            <w:proofErr w:type="spellEnd"/>
          </w:p>
        </w:tc>
        <w:tc>
          <w:tcPr>
            <w:tcW w:w="464"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Federal</w:t>
            </w:r>
          </w:p>
        </w:tc>
        <w:tc>
          <w:tcPr>
            <w:tcW w:w="486"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Estado</w:t>
            </w:r>
          </w:p>
        </w:tc>
        <w:tc>
          <w:tcPr>
            <w:tcW w:w="574" w:type="pct"/>
            <w:tcBorders>
              <w:bottom w:val="single" w:sz="6" w:space="0" w:color="008000"/>
            </w:tcBorders>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Usuario</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1,759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3,569.27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767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1,935.51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2.29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45.8</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54.2</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939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3,458.66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319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1,892.32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2.94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45.3</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54.7</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1999</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2,698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3,530.78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1,086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1,920.48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2.48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45.6</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54.4</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285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3,521.63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116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1,869.10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2.46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46.9</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53.1</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2000</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285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3,521.63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116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1,869.10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2.46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46.9</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53.1</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292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3,451.27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104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1,790.26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2.81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48.1</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51.9</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91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5,785.36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29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2,930.03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3.14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49.4</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50.6</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2001</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383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4,005.84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133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2,061.06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2.88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48.5</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51.5</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108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4,529.72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36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2,301.90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3.00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49.2</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50.8</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63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1,371.43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32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301.48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1.97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78.0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22.0</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2002</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171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3,366.14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68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1,564.90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2.51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41.8</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11.7</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46.5</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210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2,412.77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99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1,206.39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2.12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315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7,535.61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150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4,693.16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2.10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37.7</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62.3</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2003</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525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5,486.47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249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3,298.45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2.11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39.9</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60.1</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601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5,413.22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202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2,989.04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2.98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32.9</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11.9</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55.2</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15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15,676.83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11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7,838.41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1.36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48.2</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1.8</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2004</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616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5,663.15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213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3,107.13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2.89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33.9</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11.2</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54.9</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218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6,766.35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78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2,988.41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2.79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46.3</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9.5</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44.2</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44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13,306.48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22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6,715.57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2.00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49.5</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50.5</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2005</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262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7,864.69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100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3,614.35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2.62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47.2</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6.8</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46.0</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348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11,062.34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132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6,008.10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2.64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25.5</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20.2</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54.3</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99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20,371.34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70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10,326.56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1.43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43.2</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6.1</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50.7</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lastRenderedPageBreak/>
              <w:t>Subtotal 2006</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447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13,137.01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202 </w:t>
            </w:r>
          </w:p>
        </w:tc>
        <w:tc>
          <w:tcPr>
            <w:tcW w:w="691"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6,970.54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2.22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31.6</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15.3</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53.1</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550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11,890.22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266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6,240.58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2.07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36.7</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10.8</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52.5</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left"/>
              <w:rPr>
                <w:rFonts w:eastAsia="Times New Roman" w:cs="Arial"/>
                <w:sz w:val="18"/>
                <w:szCs w:val="18"/>
              </w:rPr>
            </w:pPr>
            <w:r w:rsidRPr="00D57DAF">
              <w:rPr>
                <w:rFonts w:eastAsia="Times New Roman"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212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14,429.99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117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7,263.66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1.81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40.3</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9.4</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50.3</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jc w:val="center"/>
              <w:rPr>
                <w:rFonts w:eastAsia="Times New Roman" w:cs="Arial"/>
                <w:b/>
                <w:bCs/>
                <w:sz w:val="18"/>
                <w:szCs w:val="18"/>
              </w:rPr>
            </w:pPr>
            <w:r w:rsidRPr="00D57DAF">
              <w:rPr>
                <w:rFonts w:eastAsia="Times New Roman" w:cs="Arial"/>
                <w:b/>
                <w:bCs/>
                <w:sz w:val="18"/>
                <w:szCs w:val="18"/>
              </w:rPr>
              <w:t>Subtotal 2007</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762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12,596.82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383 </w:t>
            </w:r>
          </w:p>
        </w:tc>
        <w:tc>
          <w:tcPr>
            <w:tcW w:w="691"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6,525.21 </w:t>
            </w:r>
          </w:p>
        </w:tc>
        <w:tc>
          <w:tcPr>
            <w:tcW w:w="480"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1.99 </w:t>
            </w:r>
          </w:p>
        </w:tc>
        <w:tc>
          <w:tcPr>
            <w:tcW w:w="46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37.9</w:t>
            </w:r>
          </w:p>
        </w:tc>
        <w:tc>
          <w:tcPr>
            <w:tcW w:w="486"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10.3</w:t>
            </w:r>
          </w:p>
        </w:tc>
        <w:tc>
          <w:tcPr>
            <w:tcW w:w="574" w:type="pct"/>
            <w:shd w:val="clear" w:color="auto" w:fill="auto"/>
            <w:hideMark/>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51.8</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rPr>
                <w:rFonts w:cs="Arial"/>
                <w:sz w:val="18"/>
                <w:szCs w:val="18"/>
              </w:rPr>
            </w:pPr>
            <w:r w:rsidRPr="00D57DAF">
              <w:rPr>
                <w:rFonts w:cs="Arial"/>
                <w:sz w:val="18"/>
                <w:szCs w:val="18"/>
              </w:rPr>
              <w:t>UEAEE</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215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6,498.31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77 </w:t>
            </w:r>
          </w:p>
        </w:tc>
        <w:tc>
          <w:tcPr>
            <w:tcW w:w="691" w:type="pct"/>
            <w:shd w:val="clear" w:color="auto" w:fill="auto"/>
            <w:hideMark/>
          </w:tcPr>
          <w:p w:rsidR="00605307" w:rsidRPr="00D57DAF" w:rsidRDefault="00605307" w:rsidP="00056F37">
            <w:pPr>
              <w:spacing w:before="0" w:after="20" w:line="240" w:lineRule="auto"/>
              <w:ind w:firstLine="0"/>
              <w:jc w:val="right"/>
              <w:rPr>
                <w:sz w:val="18"/>
                <w:szCs w:val="18"/>
              </w:rPr>
            </w:pPr>
            <w:r w:rsidRPr="00D57DAF">
              <w:rPr>
                <w:sz w:val="18"/>
                <w:szCs w:val="18"/>
              </w:rPr>
              <w:t xml:space="preserve">     18,152.23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2.79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rPr>
                <w:rFonts w:cs="Arial"/>
                <w:sz w:val="18"/>
                <w:szCs w:val="18"/>
              </w:rPr>
            </w:pPr>
            <w:r w:rsidRPr="00D57DAF">
              <w:rPr>
                <w:rFonts w:cs="Arial"/>
                <w:sz w:val="18"/>
                <w:szCs w:val="18"/>
              </w:rPr>
              <w:t>UPIH</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   </w:t>
            </w:r>
          </w:p>
        </w:tc>
        <w:tc>
          <w:tcPr>
            <w:tcW w:w="691" w:type="pct"/>
            <w:shd w:val="clear" w:color="auto" w:fill="auto"/>
            <w:hideMark/>
          </w:tcPr>
          <w:p w:rsidR="00605307" w:rsidRPr="00D57DAF" w:rsidRDefault="00605307" w:rsidP="00056F37">
            <w:pPr>
              <w:spacing w:before="0" w:after="20" w:line="240" w:lineRule="auto"/>
              <w:ind w:firstLine="0"/>
              <w:jc w:val="right"/>
              <w:rPr>
                <w:sz w:val="18"/>
                <w:szCs w:val="18"/>
              </w:rPr>
            </w:pPr>
            <w:r w:rsidRPr="00D57DAF">
              <w:rPr>
                <w:sz w:val="18"/>
                <w:szCs w:val="18"/>
              </w:rPr>
              <w:t>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rPr>
                <w:rFonts w:cs="Arial"/>
                <w:b/>
                <w:bCs/>
                <w:sz w:val="18"/>
                <w:szCs w:val="18"/>
              </w:rPr>
            </w:pPr>
            <w:r w:rsidRPr="00D57DAF">
              <w:rPr>
                <w:rFonts w:cs="Arial"/>
                <w:b/>
                <w:bCs/>
                <w:sz w:val="18"/>
                <w:szCs w:val="18"/>
              </w:rPr>
              <w:t>Total 2008</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215 </w:t>
            </w:r>
          </w:p>
        </w:tc>
        <w:tc>
          <w:tcPr>
            <w:tcW w:w="546" w:type="pct"/>
            <w:shd w:val="clear" w:color="auto" w:fill="auto"/>
            <w:hideMark/>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6,498.31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77 </w:t>
            </w:r>
          </w:p>
        </w:tc>
        <w:tc>
          <w:tcPr>
            <w:tcW w:w="691" w:type="pct"/>
            <w:shd w:val="clear" w:color="auto" w:fill="auto"/>
            <w:hideMark/>
          </w:tcPr>
          <w:p w:rsidR="00605307" w:rsidRPr="00D57DAF" w:rsidRDefault="00605307" w:rsidP="00056F37">
            <w:pPr>
              <w:spacing w:before="0" w:after="20" w:line="240" w:lineRule="auto"/>
              <w:ind w:firstLine="0"/>
              <w:jc w:val="right"/>
              <w:rPr>
                <w:b/>
                <w:bCs/>
                <w:sz w:val="18"/>
                <w:szCs w:val="18"/>
              </w:rPr>
            </w:pPr>
            <w:r w:rsidRPr="00D57DAF">
              <w:rPr>
                <w:b/>
                <w:bCs/>
                <w:sz w:val="18"/>
                <w:szCs w:val="18"/>
              </w:rPr>
              <w:t xml:space="preserve">     18,152.23 </w:t>
            </w:r>
          </w:p>
        </w:tc>
        <w:tc>
          <w:tcPr>
            <w:tcW w:w="480" w:type="pct"/>
            <w:shd w:val="clear" w:color="auto" w:fill="auto"/>
            <w:hideMark/>
          </w:tcPr>
          <w:p w:rsidR="00605307" w:rsidRPr="00D57DAF" w:rsidRDefault="00605307" w:rsidP="00056F37">
            <w:pPr>
              <w:spacing w:before="0" w:after="20" w:line="240" w:lineRule="auto"/>
              <w:ind w:firstLine="0"/>
              <w:jc w:val="right"/>
              <w:rPr>
                <w:rFonts w:cs="Arial"/>
                <w:bCs/>
                <w:sz w:val="18"/>
                <w:szCs w:val="18"/>
              </w:rPr>
            </w:pPr>
            <w:r w:rsidRPr="00D57DAF">
              <w:rPr>
                <w:rFonts w:cs="Arial"/>
                <w:bCs/>
                <w:sz w:val="18"/>
                <w:szCs w:val="18"/>
              </w:rPr>
              <w:t xml:space="preserve">      2.79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50.0</w:t>
            </w:r>
          </w:p>
        </w:tc>
      </w:tr>
      <w:tr w:rsidR="00605307" w:rsidRPr="00D57DAF" w:rsidTr="00E82174">
        <w:trPr>
          <w:trHeight w:val="20"/>
        </w:trPr>
        <w:tc>
          <w:tcPr>
            <w:tcW w:w="888" w:type="pct"/>
            <w:shd w:val="clear" w:color="auto" w:fill="auto"/>
            <w:hideMark/>
          </w:tcPr>
          <w:p w:rsidR="00605307" w:rsidRPr="00D57DAF" w:rsidRDefault="00605307" w:rsidP="00056F37">
            <w:pPr>
              <w:spacing w:before="0" w:after="20" w:line="240" w:lineRule="auto"/>
              <w:ind w:firstLine="0"/>
              <w:rPr>
                <w:rFonts w:cs="Arial"/>
                <w:sz w:val="18"/>
                <w:szCs w:val="18"/>
              </w:rPr>
            </w:pPr>
            <w:r w:rsidRPr="00D57DAF">
              <w:rPr>
                <w:rFonts w:cs="Arial"/>
                <w:sz w:val="18"/>
                <w:szCs w:val="18"/>
              </w:rPr>
              <w:t>MTUR</w:t>
            </w:r>
          </w:p>
        </w:tc>
        <w:tc>
          <w:tcPr>
            <w:tcW w:w="418"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782 </w:t>
            </w:r>
          </w:p>
        </w:tc>
        <w:tc>
          <w:tcPr>
            <w:tcW w:w="54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9,156.49 </w:t>
            </w:r>
          </w:p>
        </w:tc>
        <w:tc>
          <w:tcPr>
            <w:tcW w:w="454" w:type="pct"/>
            <w:shd w:val="clear" w:color="auto" w:fill="auto"/>
            <w:hideMark/>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256 </w:t>
            </w:r>
          </w:p>
        </w:tc>
        <w:tc>
          <w:tcPr>
            <w:tcW w:w="691" w:type="pct"/>
            <w:shd w:val="clear" w:color="auto" w:fill="auto"/>
            <w:hideMark/>
          </w:tcPr>
          <w:p w:rsidR="00605307" w:rsidRPr="00D57DAF" w:rsidRDefault="00605307" w:rsidP="00056F37">
            <w:pPr>
              <w:spacing w:before="0" w:after="20" w:line="240" w:lineRule="auto"/>
              <w:ind w:firstLine="0"/>
              <w:jc w:val="right"/>
              <w:rPr>
                <w:sz w:val="18"/>
                <w:szCs w:val="18"/>
              </w:rPr>
            </w:pPr>
            <w:r w:rsidRPr="00D57DAF">
              <w:rPr>
                <w:sz w:val="18"/>
                <w:szCs w:val="18"/>
              </w:rPr>
              <w:t xml:space="preserve">     58,579.20 </w:t>
            </w:r>
          </w:p>
        </w:tc>
        <w:tc>
          <w:tcPr>
            <w:tcW w:w="480"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3.06 </w:t>
            </w:r>
          </w:p>
        </w:tc>
        <w:tc>
          <w:tcPr>
            <w:tcW w:w="46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49.0</w:t>
            </w:r>
          </w:p>
        </w:tc>
        <w:tc>
          <w:tcPr>
            <w:tcW w:w="486"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hideMark/>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51.0</w:t>
            </w:r>
          </w:p>
        </w:tc>
      </w:tr>
      <w:tr w:rsidR="00605307" w:rsidRPr="00D57DAF" w:rsidTr="00E82174">
        <w:trPr>
          <w:trHeight w:val="20"/>
        </w:trPr>
        <w:tc>
          <w:tcPr>
            <w:tcW w:w="888" w:type="pct"/>
            <w:shd w:val="clear" w:color="auto" w:fill="auto"/>
          </w:tcPr>
          <w:p w:rsidR="00605307" w:rsidRPr="00D57DAF" w:rsidRDefault="00605307" w:rsidP="00056F37">
            <w:pPr>
              <w:spacing w:before="0" w:after="20" w:line="240" w:lineRule="auto"/>
              <w:ind w:firstLine="0"/>
              <w:rPr>
                <w:rFonts w:cs="Arial"/>
                <w:b/>
                <w:bCs/>
                <w:sz w:val="18"/>
                <w:szCs w:val="18"/>
              </w:rPr>
            </w:pPr>
            <w:r w:rsidRPr="00D57DAF">
              <w:rPr>
                <w:rFonts w:cs="Arial"/>
                <w:b/>
                <w:bCs/>
                <w:sz w:val="18"/>
                <w:szCs w:val="18"/>
              </w:rPr>
              <w:t>Total 2009</w:t>
            </w:r>
          </w:p>
        </w:tc>
        <w:tc>
          <w:tcPr>
            <w:tcW w:w="418" w:type="pct"/>
            <w:shd w:val="clear" w:color="auto" w:fill="auto"/>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782 </w:t>
            </w:r>
          </w:p>
        </w:tc>
        <w:tc>
          <w:tcPr>
            <w:tcW w:w="546" w:type="pct"/>
            <w:shd w:val="clear" w:color="auto" w:fill="auto"/>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9,156.49 </w:t>
            </w:r>
          </w:p>
        </w:tc>
        <w:tc>
          <w:tcPr>
            <w:tcW w:w="454" w:type="pct"/>
            <w:shd w:val="clear" w:color="auto" w:fill="auto"/>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256 </w:t>
            </w:r>
          </w:p>
        </w:tc>
        <w:tc>
          <w:tcPr>
            <w:tcW w:w="691" w:type="pct"/>
            <w:shd w:val="clear" w:color="auto" w:fill="auto"/>
          </w:tcPr>
          <w:p w:rsidR="00605307" w:rsidRPr="00D57DAF" w:rsidRDefault="00605307" w:rsidP="00056F37">
            <w:pPr>
              <w:spacing w:before="0" w:after="20" w:line="240" w:lineRule="auto"/>
              <w:ind w:firstLine="0"/>
              <w:jc w:val="right"/>
              <w:rPr>
                <w:b/>
                <w:bCs/>
                <w:sz w:val="18"/>
                <w:szCs w:val="18"/>
              </w:rPr>
            </w:pPr>
            <w:r w:rsidRPr="00D57DAF">
              <w:rPr>
                <w:b/>
                <w:bCs/>
                <w:sz w:val="18"/>
                <w:szCs w:val="18"/>
              </w:rPr>
              <w:t xml:space="preserve">     58,579.20 </w:t>
            </w:r>
          </w:p>
        </w:tc>
        <w:tc>
          <w:tcPr>
            <w:tcW w:w="480" w:type="pct"/>
            <w:shd w:val="clear" w:color="auto" w:fill="auto"/>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3.06 </w:t>
            </w:r>
          </w:p>
        </w:tc>
        <w:tc>
          <w:tcPr>
            <w:tcW w:w="464" w:type="pct"/>
            <w:shd w:val="clear" w:color="auto" w:fill="auto"/>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49.0</w:t>
            </w:r>
          </w:p>
        </w:tc>
        <w:tc>
          <w:tcPr>
            <w:tcW w:w="486" w:type="pct"/>
            <w:shd w:val="clear" w:color="auto" w:fill="auto"/>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0.0</w:t>
            </w:r>
          </w:p>
        </w:tc>
        <w:tc>
          <w:tcPr>
            <w:tcW w:w="574" w:type="pct"/>
            <w:shd w:val="clear" w:color="auto" w:fill="auto"/>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51.0</w:t>
            </w:r>
          </w:p>
        </w:tc>
      </w:tr>
      <w:tr w:rsidR="00605307" w:rsidRPr="00D57DAF" w:rsidTr="00E82174">
        <w:trPr>
          <w:trHeight w:val="20"/>
        </w:trPr>
        <w:tc>
          <w:tcPr>
            <w:tcW w:w="888" w:type="pct"/>
            <w:shd w:val="clear" w:color="auto" w:fill="auto"/>
          </w:tcPr>
          <w:p w:rsidR="00605307" w:rsidRPr="00D57DAF" w:rsidRDefault="00605307" w:rsidP="00056F37">
            <w:pPr>
              <w:spacing w:before="0" w:after="20" w:line="240" w:lineRule="auto"/>
              <w:ind w:firstLine="0"/>
              <w:rPr>
                <w:rFonts w:cs="Arial"/>
                <w:sz w:val="18"/>
                <w:szCs w:val="18"/>
              </w:rPr>
            </w:pPr>
            <w:r w:rsidRPr="00D57DAF">
              <w:rPr>
                <w:rFonts w:cs="Arial"/>
                <w:sz w:val="18"/>
                <w:szCs w:val="18"/>
              </w:rPr>
              <w:t>UEAEE</w:t>
            </w:r>
          </w:p>
        </w:tc>
        <w:tc>
          <w:tcPr>
            <w:tcW w:w="418" w:type="pct"/>
            <w:shd w:val="clear" w:color="auto" w:fill="auto"/>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4,586 </w:t>
            </w:r>
          </w:p>
        </w:tc>
        <w:tc>
          <w:tcPr>
            <w:tcW w:w="546"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5,625.95 </w:t>
            </w:r>
          </w:p>
        </w:tc>
        <w:tc>
          <w:tcPr>
            <w:tcW w:w="454" w:type="pct"/>
            <w:shd w:val="clear" w:color="auto" w:fill="auto"/>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1,877 </w:t>
            </w:r>
          </w:p>
        </w:tc>
        <w:tc>
          <w:tcPr>
            <w:tcW w:w="691" w:type="pct"/>
            <w:shd w:val="clear" w:color="auto" w:fill="auto"/>
          </w:tcPr>
          <w:p w:rsidR="00605307" w:rsidRPr="00D57DAF" w:rsidRDefault="00605307" w:rsidP="00056F37">
            <w:pPr>
              <w:spacing w:before="0" w:after="20" w:line="240" w:lineRule="auto"/>
              <w:ind w:firstLine="0"/>
              <w:jc w:val="right"/>
              <w:rPr>
                <w:sz w:val="18"/>
                <w:szCs w:val="18"/>
              </w:rPr>
            </w:pPr>
            <w:r w:rsidRPr="00D57DAF">
              <w:rPr>
                <w:sz w:val="18"/>
                <w:szCs w:val="18"/>
              </w:rPr>
              <w:t xml:space="preserve">     13,745.94 </w:t>
            </w:r>
          </w:p>
        </w:tc>
        <w:tc>
          <w:tcPr>
            <w:tcW w:w="480"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2.44 </w:t>
            </w:r>
          </w:p>
        </w:tc>
        <w:tc>
          <w:tcPr>
            <w:tcW w:w="464"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39.4</w:t>
            </w:r>
          </w:p>
        </w:tc>
        <w:tc>
          <w:tcPr>
            <w:tcW w:w="486"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7.8</w:t>
            </w:r>
          </w:p>
        </w:tc>
        <w:tc>
          <w:tcPr>
            <w:tcW w:w="574"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52.8</w:t>
            </w:r>
          </w:p>
        </w:tc>
      </w:tr>
      <w:tr w:rsidR="00605307" w:rsidRPr="00D57DAF" w:rsidTr="00E82174">
        <w:trPr>
          <w:trHeight w:val="20"/>
        </w:trPr>
        <w:tc>
          <w:tcPr>
            <w:tcW w:w="888" w:type="pct"/>
            <w:shd w:val="clear" w:color="auto" w:fill="auto"/>
          </w:tcPr>
          <w:p w:rsidR="00605307" w:rsidRPr="00D57DAF" w:rsidRDefault="00605307" w:rsidP="00056F37">
            <w:pPr>
              <w:spacing w:before="0" w:after="20" w:line="240" w:lineRule="auto"/>
              <w:ind w:firstLine="0"/>
              <w:rPr>
                <w:rFonts w:cs="Arial"/>
                <w:sz w:val="18"/>
                <w:szCs w:val="18"/>
              </w:rPr>
            </w:pPr>
            <w:r w:rsidRPr="00D57DAF">
              <w:rPr>
                <w:rFonts w:cs="Arial"/>
                <w:sz w:val="18"/>
                <w:szCs w:val="18"/>
              </w:rPr>
              <w:t>UPIH</w:t>
            </w:r>
          </w:p>
        </w:tc>
        <w:tc>
          <w:tcPr>
            <w:tcW w:w="418" w:type="pct"/>
            <w:shd w:val="clear" w:color="auto" w:fill="auto"/>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1,778 </w:t>
            </w:r>
          </w:p>
        </w:tc>
        <w:tc>
          <w:tcPr>
            <w:tcW w:w="546"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6,828.83 </w:t>
            </w:r>
          </w:p>
        </w:tc>
        <w:tc>
          <w:tcPr>
            <w:tcW w:w="454" w:type="pct"/>
            <w:shd w:val="clear" w:color="auto" w:fill="auto"/>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750 </w:t>
            </w:r>
          </w:p>
        </w:tc>
        <w:tc>
          <w:tcPr>
            <w:tcW w:w="691" w:type="pct"/>
            <w:shd w:val="clear" w:color="auto" w:fill="auto"/>
          </w:tcPr>
          <w:p w:rsidR="00605307" w:rsidRPr="00D57DAF" w:rsidRDefault="00605307" w:rsidP="00056F37">
            <w:pPr>
              <w:spacing w:before="0" w:after="20" w:line="240" w:lineRule="auto"/>
              <w:ind w:firstLine="0"/>
              <w:jc w:val="right"/>
              <w:rPr>
                <w:sz w:val="18"/>
                <w:szCs w:val="18"/>
              </w:rPr>
            </w:pPr>
            <w:r w:rsidRPr="00D57DAF">
              <w:rPr>
                <w:sz w:val="18"/>
                <w:szCs w:val="18"/>
              </w:rPr>
              <w:t xml:space="preserve">     16,196.17 </w:t>
            </w:r>
          </w:p>
        </w:tc>
        <w:tc>
          <w:tcPr>
            <w:tcW w:w="480"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2.37 </w:t>
            </w:r>
          </w:p>
        </w:tc>
        <w:tc>
          <w:tcPr>
            <w:tcW w:w="464"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42.3</w:t>
            </w:r>
          </w:p>
        </w:tc>
        <w:tc>
          <w:tcPr>
            <w:tcW w:w="486"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4.0</w:t>
            </w:r>
          </w:p>
        </w:tc>
        <w:tc>
          <w:tcPr>
            <w:tcW w:w="574"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53.7</w:t>
            </w:r>
          </w:p>
        </w:tc>
      </w:tr>
      <w:tr w:rsidR="00605307" w:rsidRPr="00D57DAF" w:rsidTr="00E82174">
        <w:trPr>
          <w:trHeight w:val="20"/>
        </w:trPr>
        <w:tc>
          <w:tcPr>
            <w:tcW w:w="888" w:type="pct"/>
            <w:shd w:val="clear" w:color="auto" w:fill="auto"/>
          </w:tcPr>
          <w:p w:rsidR="00605307" w:rsidRPr="00D57DAF" w:rsidRDefault="00605307" w:rsidP="00056F37">
            <w:pPr>
              <w:spacing w:before="0" w:after="20" w:line="240" w:lineRule="auto"/>
              <w:ind w:firstLine="0"/>
              <w:rPr>
                <w:rFonts w:cs="Arial"/>
                <w:b/>
                <w:bCs/>
                <w:sz w:val="18"/>
                <w:szCs w:val="18"/>
              </w:rPr>
            </w:pPr>
            <w:r w:rsidRPr="00D57DAF">
              <w:rPr>
                <w:rFonts w:cs="Arial"/>
                <w:b/>
                <w:bCs/>
                <w:sz w:val="18"/>
                <w:szCs w:val="18"/>
              </w:rPr>
              <w:t xml:space="preserve"> Total UEAEEUPIH</w:t>
            </w:r>
          </w:p>
        </w:tc>
        <w:tc>
          <w:tcPr>
            <w:tcW w:w="418" w:type="pct"/>
            <w:shd w:val="clear" w:color="auto" w:fill="auto"/>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6,364 </w:t>
            </w:r>
          </w:p>
        </w:tc>
        <w:tc>
          <w:tcPr>
            <w:tcW w:w="546" w:type="pct"/>
            <w:shd w:val="clear" w:color="auto" w:fill="auto"/>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5,962.12 </w:t>
            </w:r>
          </w:p>
        </w:tc>
        <w:tc>
          <w:tcPr>
            <w:tcW w:w="454" w:type="pct"/>
            <w:shd w:val="clear" w:color="auto" w:fill="auto"/>
          </w:tcPr>
          <w:p w:rsidR="00605307" w:rsidRPr="00D57DAF" w:rsidRDefault="00605307" w:rsidP="00056F37">
            <w:pPr>
              <w:spacing w:before="0" w:after="20" w:line="240" w:lineRule="auto"/>
              <w:ind w:firstLine="0"/>
              <w:jc w:val="right"/>
              <w:rPr>
                <w:rFonts w:eastAsia="Times New Roman" w:cs="Arial"/>
                <w:b/>
                <w:bCs/>
                <w:sz w:val="18"/>
                <w:szCs w:val="18"/>
              </w:rPr>
            </w:pPr>
            <w:r w:rsidRPr="00D57DAF">
              <w:rPr>
                <w:rFonts w:eastAsia="Times New Roman" w:cs="Arial"/>
                <w:b/>
                <w:bCs/>
                <w:sz w:val="18"/>
                <w:szCs w:val="18"/>
              </w:rPr>
              <w:t xml:space="preserve">   2,627 </w:t>
            </w:r>
          </w:p>
        </w:tc>
        <w:tc>
          <w:tcPr>
            <w:tcW w:w="691" w:type="pct"/>
            <w:shd w:val="clear" w:color="auto" w:fill="auto"/>
          </w:tcPr>
          <w:p w:rsidR="00605307" w:rsidRPr="00D57DAF" w:rsidRDefault="00605307" w:rsidP="00056F37">
            <w:pPr>
              <w:spacing w:before="0" w:after="20" w:line="240" w:lineRule="auto"/>
              <w:ind w:firstLine="0"/>
              <w:jc w:val="right"/>
              <w:rPr>
                <w:b/>
                <w:bCs/>
                <w:sz w:val="18"/>
                <w:szCs w:val="18"/>
              </w:rPr>
            </w:pPr>
            <w:r w:rsidRPr="00D57DAF">
              <w:rPr>
                <w:b/>
                <w:bCs/>
                <w:sz w:val="18"/>
                <w:szCs w:val="18"/>
              </w:rPr>
              <w:t xml:space="preserve">     14,445.47 </w:t>
            </w:r>
          </w:p>
        </w:tc>
        <w:tc>
          <w:tcPr>
            <w:tcW w:w="480" w:type="pct"/>
            <w:shd w:val="clear" w:color="auto" w:fill="auto"/>
          </w:tcPr>
          <w:p w:rsidR="00605307" w:rsidRPr="00D57DAF" w:rsidRDefault="00605307" w:rsidP="00056F37">
            <w:pPr>
              <w:spacing w:before="0" w:after="20" w:line="240" w:lineRule="auto"/>
              <w:ind w:firstLine="0"/>
              <w:jc w:val="right"/>
              <w:rPr>
                <w:rFonts w:cs="Arial"/>
                <w:b/>
                <w:bCs/>
                <w:sz w:val="18"/>
                <w:szCs w:val="18"/>
              </w:rPr>
            </w:pPr>
            <w:r w:rsidRPr="00D57DAF">
              <w:rPr>
                <w:rFonts w:cs="Arial"/>
                <w:b/>
                <w:bCs/>
                <w:sz w:val="18"/>
                <w:szCs w:val="18"/>
              </w:rPr>
              <w:t xml:space="preserve">       2.42 </w:t>
            </w:r>
          </w:p>
        </w:tc>
        <w:tc>
          <w:tcPr>
            <w:tcW w:w="464" w:type="pct"/>
            <w:shd w:val="clear" w:color="auto" w:fill="auto"/>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40.3</w:t>
            </w:r>
          </w:p>
        </w:tc>
        <w:tc>
          <w:tcPr>
            <w:tcW w:w="486" w:type="pct"/>
            <w:shd w:val="clear" w:color="auto" w:fill="auto"/>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6.6</w:t>
            </w:r>
          </w:p>
        </w:tc>
        <w:tc>
          <w:tcPr>
            <w:tcW w:w="574" w:type="pct"/>
            <w:shd w:val="clear" w:color="auto" w:fill="auto"/>
          </w:tcPr>
          <w:p w:rsidR="00605307" w:rsidRPr="00D57DAF" w:rsidRDefault="00605307" w:rsidP="00056F37">
            <w:pPr>
              <w:spacing w:before="0" w:after="20" w:line="240" w:lineRule="auto"/>
              <w:ind w:firstLine="0"/>
              <w:jc w:val="right"/>
              <w:rPr>
                <w:rFonts w:cs="Arial"/>
                <w:b/>
                <w:sz w:val="18"/>
                <w:szCs w:val="18"/>
              </w:rPr>
            </w:pPr>
            <w:r w:rsidRPr="00D57DAF">
              <w:rPr>
                <w:rFonts w:cs="Arial"/>
                <w:b/>
                <w:sz w:val="18"/>
                <w:szCs w:val="18"/>
              </w:rPr>
              <w:t>53.1</w:t>
            </w:r>
          </w:p>
        </w:tc>
      </w:tr>
      <w:tr w:rsidR="00605307" w:rsidRPr="00D57DAF" w:rsidTr="00E82174">
        <w:trPr>
          <w:trHeight w:val="20"/>
        </w:trPr>
        <w:tc>
          <w:tcPr>
            <w:tcW w:w="888" w:type="pct"/>
            <w:shd w:val="clear" w:color="auto" w:fill="auto"/>
          </w:tcPr>
          <w:p w:rsidR="00605307" w:rsidRPr="00D57DAF" w:rsidRDefault="00605307" w:rsidP="00056F37">
            <w:pPr>
              <w:spacing w:before="0" w:after="20" w:line="240" w:lineRule="auto"/>
              <w:ind w:firstLine="0"/>
              <w:rPr>
                <w:rFonts w:cs="Arial"/>
                <w:sz w:val="18"/>
                <w:szCs w:val="18"/>
              </w:rPr>
            </w:pPr>
            <w:r w:rsidRPr="00D57DAF">
              <w:rPr>
                <w:rFonts w:cs="Arial"/>
                <w:sz w:val="18"/>
                <w:szCs w:val="18"/>
              </w:rPr>
              <w:t>Total MTUR</w:t>
            </w:r>
          </w:p>
        </w:tc>
        <w:tc>
          <w:tcPr>
            <w:tcW w:w="418" w:type="pct"/>
            <w:shd w:val="clear" w:color="auto" w:fill="auto"/>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782 </w:t>
            </w:r>
          </w:p>
        </w:tc>
        <w:tc>
          <w:tcPr>
            <w:tcW w:w="546"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9,156.49 </w:t>
            </w:r>
          </w:p>
        </w:tc>
        <w:tc>
          <w:tcPr>
            <w:tcW w:w="454" w:type="pct"/>
            <w:shd w:val="clear" w:color="auto" w:fill="auto"/>
          </w:tcPr>
          <w:p w:rsidR="00605307" w:rsidRPr="00D57DAF" w:rsidRDefault="00605307" w:rsidP="00056F37">
            <w:pPr>
              <w:spacing w:before="0" w:after="20" w:line="240" w:lineRule="auto"/>
              <w:ind w:firstLine="0"/>
              <w:jc w:val="right"/>
              <w:rPr>
                <w:rFonts w:eastAsia="Times New Roman" w:cs="Arial"/>
                <w:sz w:val="18"/>
                <w:szCs w:val="18"/>
              </w:rPr>
            </w:pPr>
            <w:r w:rsidRPr="00D57DAF">
              <w:rPr>
                <w:rFonts w:eastAsia="Times New Roman" w:cs="Arial"/>
                <w:sz w:val="18"/>
                <w:szCs w:val="18"/>
              </w:rPr>
              <w:t xml:space="preserve">     256 </w:t>
            </w:r>
          </w:p>
        </w:tc>
        <w:tc>
          <w:tcPr>
            <w:tcW w:w="691" w:type="pct"/>
            <w:shd w:val="clear" w:color="auto" w:fill="auto"/>
          </w:tcPr>
          <w:p w:rsidR="00605307" w:rsidRPr="00D57DAF" w:rsidRDefault="00605307" w:rsidP="00056F37">
            <w:pPr>
              <w:spacing w:before="0" w:after="20" w:line="240" w:lineRule="auto"/>
              <w:ind w:firstLine="0"/>
              <w:jc w:val="right"/>
              <w:rPr>
                <w:sz w:val="18"/>
                <w:szCs w:val="18"/>
              </w:rPr>
            </w:pPr>
            <w:r w:rsidRPr="00D57DAF">
              <w:rPr>
                <w:sz w:val="18"/>
                <w:szCs w:val="18"/>
              </w:rPr>
              <w:t xml:space="preserve">     58,579.20 </w:t>
            </w:r>
          </w:p>
        </w:tc>
        <w:tc>
          <w:tcPr>
            <w:tcW w:w="480"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 xml:space="preserve">      3.06 </w:t>
            </w:r>
          </w:p>
        </w:tc>
        <w:tc>
          <w:tcPr>
            <w:tcW w:w="464"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49.0</w:t>
            </w:r>
          </w:p>
        </w:tc>
        <w:tc>
          <w:tcPr>
            <w:tcW w:w="486"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0.0</w:t>
            </w:r>
          </w:p>
        </w:tc>
        <w:tc>
          <w:tcPr>
            <w:tcW w:w="574" w:type="pct"/>
            <w:shd w:val="clear" w:color="auto" w:fill="auto"/>
          </w:tcPr>
          <w:p w:rsidR="00605307" w:rsidRPr="00D57DAF" w:rsidRDefault="00605307" w:rsidP="00056F37">
            <w:pPr>
              <w:spacing w:before="0" w:after="20" w:line="240" w:lineRule="auto"/>
              <w:ind w:firstLine="0"/>
              <w:jc w:val="right"/>
              <w:rPr>
                <w:rFonts w:cs="Arial"/>
                <w:sz w:val="18"/>
                <w:szCs w:val="18"/>
              </w:rPr>
            </w:pPr>
            <w:r w:rsidRPr="00D57DAF">
              <w:rPr>
                <w:rFonts w:cs="Arial"/>
                <w:sz w:val="18"/>
                <w:szCs w:val="18"/>
              </w:rPr>
              <w:t>51.0</w:t>
            </w:r>
          </w:p>
        </w:tc>
      </w:tr>
    </w:tbl>
    <w:p w:rsidR="00605307" w:rsidRDefault="00605307" w:rsidP="00605307"/>
    <w:p w:rsidR="00605307" w:rsidRDefault="00605307" w:rsidP="009C3924">
      <w:pPr>
        <w:pStyle w:val="Tabla1cap5"/>
      </w:pPr>
      <w:bookmarkStart w:id="49" w:name="_Toc262472928"/>
      <w:bookmarkStart w:id="50" w:name="_Ref264458893"/>
      <w:r>
        <w:t>Indicadores de los beneficios y participación de las inversiones realizadas en el acuífero Huamantla, Tlaxcala en el período 1999-2009. Alianza Para El Campo</w:t>
      </w:r>
      <w:bookmarkEnd w:id="49"/>
      <w:bookmarkEnd w:id="50"/>
    </w:p>
    <w:tbl>
      <w:tblPr>
        <w:tblW w:w="5000" w:type="pct"/>
        <w:tblBorders>
          <w:top w:val="single" w:sz="12" w:space="0" w:color="008000"/>
          <w:bottom w:val="single" w:sz="12" w:space="0" w:color="008000"/>
        </w:tblBorders>
        <w:tblLook w:val="04A0"/>
      </w:tblPr>
      <w:tblGrid>
        <w:gridCol w:w="1689"/>
        <w:gridCol w:w="969"/>
        <w:gridCol w:w="1494"/>
        <w:gridCol w:w="794"/>
        <w:gridCol w:w="1143"/>
        <w:gridCol w:w="794"/>
        <w:gridCol w:w="990"/>
        <w:gridCol w:w="864"/>
        <w:gridCol w:w="1167"/>
      </w:tblGrid>
      <w:tr w:rsidR="00605307" w:rsidRPr="00A94E07" w:rsidTr="00056F37">
        <w:trPr>
          <w:trHeight w:val="315"/>
        </w:trPr>
        <w:tc>
          <w:tcPr>
            <w:tcW w:w="853" w:type="pct"/>
            <w:vMerge w:val="restart"/>
            <w:tcBorders>
              <w:top w:val="single" w:sz="12" w:space="0" w:color="008000"/>
              <w:bottom w:val="single" w:sz="6" w:space="0" w:color="008000"/>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Programa</w:t>
            </w:r>
          </w:p>
          <w:p w:rsidR="00605307" w:rsidRPr="00A94E07" w:rsidRDefault="00605307" w:rsidP="00056F37">
            <w:pPr>
              <w:spacing w:before="100" w:beforeAutospacing="1" w:after="100" w:afterAutospacing="1" w:line="240" w:lineRule="auto"/>
              <w:ind w:firstLine="0"/>
              <w:rPr>
                <w:rFonts w:eastAsia="Times New Roman" w:cs="Arial"/>
                <w:b/>
                <w:bCs/>
                <w:sz w:val="18"/>
                <w:szCs w:val="18"/>
              </w:rPr>
            </w:pPr>
          </w:p>
        </w:tc>
        <w:tc>
          <w:tcPr>
            <w:tcW w:w="2221" w:type="pct"/>
            <w:gridSpan w:val="4"/>
            <w:tcBorders>
              <w:top w:val="single" w:sz="12" w:space="0" w:color="008000"/>
              <w:bottom w:val="single" w:sz="6" w:space="0" w:color="008000"/>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META</w:t>
            </w:r>
          </w:p>
        </w:tc>
        <w:tc>
          <w:tcPr>
            <w:tcW w:w="401" w:type="pct"/>
            <w:tcBorders>
              <w:top w:val="single" w:sz="12" w:space="0" w:color="008000"/>
              <w:bottom w:val="single" w:sz="6" w:space="0" w:color="008000"/>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 </w:t>
            </w:r>
          </w:p>
        </w:tc>
        <w:tc>
          <w:tcPr>
            <w:tcW w:w="1525" w:type="pct"/>
            <w:gridSpan w:val="3"/>
            <w:tcBorders>
              <w:top w:val="single" w:sz="12" w:space="0" w:color="008000"/>
              <w:bottom w:val="single" w:sz="6" w:space="0" w:color="008000"/>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 xml:space="preserve">% de participación en </w:t>
            </w:r>
            <w:r w:rsidR="00A94E07" w:rsidRPr="00A94E07">
              <w:rPr>
                <w:rFonts w:eastAsia="Times New Roman" w:cs="Arial"/>
                <w:sz w:val="18"/>
                <w:szCs w:val="18"/>
              </w:rPr>
              <w:t>inversión</w:t>
            </w:r>
          </w:p>
        </w:tc>
      </w:tr>
      <w:tr w:rsidR="00605307" w:rsidRPr="00A94E07" w:rsidTr="00056F37">
        <w:trPr>
          <w:trHeight w:val="295"/>
        </w:trPr>
        <w:tc>
          <w:tcPr>
            <w:tcW w:w="853" w:type="pct"/>
            <w:vMerge/>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left"/>
              <w:rPr>
                <w:rFonts w:eastAsia="Times New Roman" w:cs="Arial"/>
                <w:b/>
                <w:bCs/>
                <w:sz w:val="18"/>
                <w:szCs w:val="18"/>
              </w:rPr>
            </w:pPr>
          </w:p>
        </w:tc>
        <w:tc>
          <w:tcPr>
            <w:tcW w:w="489"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Ha</w:t>
            </w:r>
          </w:p>
        </w:tc>
        <w:tc>
          <w:tcPr>
            <w:tcW w:w="754"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$/ha</w:t>
            </w:r>
          </w:p>
        </w:tc>
        <w:tc>
          <w:tcPr>
            <w:tcW w:w="401"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proofErr w:type="spellStart"/>
            <w:r w:rsidRPr="00A94E07">
              <w:rPr>
                <w:rFonts w:eastAsia="Times New Roman" w:cs="Arial"/>
                <w:b/>
                <w:bCs/>
                <w:sz w:val="18"/>
                <w:szCs w:val="18"/>
              </w:rPr>
              <w:t>Us</w:t>
            </w:r>
            <w:proofErr w:type="spellEnd"/>
          </w:p>
        </w:tc>
        <w:tc>
          <w:tcPr>
            <w:tcW w:w="577"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w:t>
            </w:r>
            <w:proofErr w:type="spellStart"/>
            <w:r w:rsidRPr="00A94E07">
              <w:rPr>
                <w:rFonts w:eastAsia="Times New Roman" w:cs="Arial"/>
                <w:b/>
                <w:bCs/>
                <w:sz w:val="18"/>
                <w:szCs w:val="18"/>
              </w:rPr>
              <w:t>Us</w:t>
            </w:r>
            <w:proofErr w:type="spellEnd"/>
          </w:p>
        </w:tc>
        <w:tc>
          <w:tcPr>
            <w:tcW w:w="401"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Ha/</w:t>
            </w:r>
            <w:proofErr w:type="spellStart"/>
            <w:r w:rsidRPr="00A94E07">
              <w:rPr>
                <w:rFonts w:eastAsia="Times New Roman" w:cs="Arial"/>
                <w:b/>
                <w:bCs/>
                <w:sz w:val="18"/>
                <w:szCs w:val="18"/>
              </w:rPr>
              <w:t>Us</w:t>
            </w:r>
            <w:proofErr w:type="spellEnd"/>
          </w:p>
        </w:tc>
        <w:tc>
          <w:tcPr>
            <w:tcW w:w="500"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Federal</w:t>
            </w:r>
          </w:p>
        </w:tc>
        <w:tc>
          <w:tcPr>
            <w:tcW w:w="436"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Estado</w:t>
            </w:r>
          </w:p>
        </w:tc>
        <w:tc>
          <w:tcPr>
            <w:tcW w:w="589" w:type="pct"/>
            <w:tcBorders>
              <w:bottom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Usuario</w:t>
            </w:r>
          </w:p>
        </w:tc>
      </w:tr>
      <w:tr w:rsidR="00605307" w:rsidRPr="00A94E07" w:rsidTr="00056F37">
        <w:trPr>
          <w:trHeight w:val="315"/>
        </w:trPr>
        <w:tc>
          <w:tcPr>
            <w:tcW w:w="853"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UEAEE</w:t>
            </w:r>
          </w:p>
        </w:tc>
        <w:tc>
          <w:tcPr>
            <w:tcW w:w="489"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716</w:t>
            </w:r>
          </w:p>
        </w:tc>
        <w:tc>
          <w:tcPr>
            <w:tcW w:w="754"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5,363.12</w:t>
            </w:r>
          </w:p>
        </w:tc>
        <w:tc>
          <w:tcPr>
            <w:tcW w:w="401"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367</w:t>
            </w:r>
          </w:p>
        </w:tc>
        <w:tc>
          <w:tcPr>
            <w:tcW w:w="577"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10,463.19</w:t>
            </w:r>
          </w:p>
        </w:tc>
        <w:tc>
          <w:tcPr>
            <w:tcW w:w="401"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 xml:space="preserve">   1.95 </w:t>
            </w:r>
          </w:p>
        </w:tc>
        <w:tc>
          <w:tcPr>
            <w:tcW w:w="500"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47%</w:t>
            </w:r>
          </w:p>
        </w:tc>
        <w:tc>
          <w:tcPr>
            <w:tcW w:w="436"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24%</w:t>
            </w:r>
          </w:p>
        </w:tc>
        <w:tc>
          <w:tcPr>
            <w:tcW w:w="589" w:type="pct"/>
            <w:tcBorders>
              <w:top w:val="single" w:sz="4" w:space="0" w:color="auto"/>
            </w:tcBorders>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29%</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UPIH</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333</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10,778.16</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97</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37,001.31</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 xml:space="preserve">   3.43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Subtotal 2005</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1,049</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7,082.10</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464</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16,011.03</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2.26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49%</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27%</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UEAEE</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551</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5,229.09</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194</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14,851.69</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 xml:space="preserve">  2.84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48%</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28%</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UPIH</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40</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22,159.30</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9</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98,485.78</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 xml:space="preserve">  4.44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Subtotal 2006</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591</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6,374.96</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203</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18,559.60</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2.91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48%</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28%</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UEAEE</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721</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4,148.92</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267</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11,203.64</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 xml:space="preserve">  2.70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UPIH</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189</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15,701.79</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67</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44,293.10</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 xml:space="preserve">  2.82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Cs/>
                <w:sz w:val="18"/>
                <w:szCs w:val="18"/>
              </w:rPr>
            </w:pPr>
            <w:r w:rsidRPr="00A94E07">
              <w:rPr>
                <w:rFonts w:eastAsia="Times New Roman" w:cs="Arial"/>
                <w:bCs/>
                <w:sz w:val="18"/>
                <w:szCs w:val="18"/>
              </w:rPr>
              <w:t>25%</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Subtotal 2007</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910</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6,548.36</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334</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17,841.34</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2.72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25%</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UPIH 2008</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122</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13,575.87</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53</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31,250.11</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2.30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26%</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sz w:val="18"/>
                <w:szCs w:val="18"/>
              </w:rPr>
            </w:pPr>
            <w:r w:rsidRPr="00A94E07">
              <w:rPr>
                <w:rFonts w:eastAsia="Times New Roman" w:cs="Arial"/>
                <w:sz w:val="18"/>
                <w:szCs w:val="18"/>
              </w:rPr>
              <w:t>MTUR</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sz w:val="18"/>
                <w:szCs w:val="18"/>
              </w:rPr>
            </w:pPr>
            <w:r w:rsidRPr="00A94E07">
              <w:rPr>
                <w:rFonts w:eastAsia="Times New Roman" w:cs="Arial"/>
                <w:b/>
                <w:sz w:val="18"/>
                <w:szCs w:val="18"/>
              </w:rPr>
              <w:t>478</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4,692.96</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sz w:val="18"/>
                <w:szCs w:val="18"/>
              </w:rPr>
            </w:pPr>
            <w:r w:rsidRPr="00A94E07">
              <w:rPr>
                <w:rFonts w:eastAsia="Times New Roman" w:cs="Arial"/>
                <w:b/>
                <w:sz w:val="18"/>
                <w:szCs w:val="18"/>
              </w:rPr>
              <w:t>200</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11,216.18</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2.39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26%</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Subtotal 2009</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478</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4,692.96</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200</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11,216.18</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2.39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49%</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26%</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rPr>
                <w:rFonts w:eastAsia="Times New Roman" w:cs="Arial"/>
                <w:sz w:val="18"/>
                <w:szCs w:val="18"/>
              </w:rPr>
            </w:pPr>
            <w:r w:rsidRPr="00A94E07">
              <w:rPr>
                <w:rFonts w:eastAsia="Times New Roman" w:cs="Arial"/>
                <w:sz w:val="18"/>
                <w:szCs w:val="18"/>
              </w:rPr>
              <w:t>Total UEAEE</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1,988</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 xml:space="preserve">4,885.61 </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828</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11,730.18</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2.40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48%</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28%</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left"/>
              <w:rPr>
                <w:rFonts w:eastAsia="Times New Roman" w:cs="Arial"/>
                <w:sz w:val="18"/>
                <w:szCs w:val="18"/>
              </w:rPr>
            </w:pPr>
            <w:r w:rsidRPr="00A94E07">
              <w:rPr>
                <w:rFonts w:eastAsia="Times New Roman" w:cs="Arial"/>
                <w:sz w:val="18"/>
                <w:szCs w:val="18"/>
              </w:rPr>
              <w:t>Total UPHI</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684</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 xml:space="preserve">     13,303.21 </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sz w:val="18"/>
                <w:szCs w:val="18"/>
              </w:rPr>
            </w:pPr>
            <w:r w:rsidRPr="00A94E07">
              <w:rPr>
                <w:rFonts w:eastAsia="Times New Roman" w:cs="Arial"/>
                <w:sz w:val="18"/>
                <w:szCs w:val="18"/>
              </w:rPr>
              <w:t>226</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40,262.80</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3.03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50%</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25%</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25%</w:t>
            </w:r>
          </w:p>
        </w:tc>
      </w:tr>
      <w:tr w:rsidR="00605307" w:rsidRPr="00A94E07" w:rsidTr="00056F37">
        <w:trPr>
          <w:trHeight w:val="315"/>
        </w:trPr>
        <w:tc>
          <w:tcPr>
            <w:tcW w:w="853" w:type="pct"/>
            <w:shd w:val="clear" w:color="auto" w:fill="auto"/>
            <w:hideMark/>
          </w:tcPr>
          <w:p w:rsidR="00605307" w:rsidRPr="00A94E07" w:rsidRDefault="00605307" w:rsidP="00056F37">
            <w:pPr>
              <w:spacing w:before="100" w:beforeAutospacing="1" w:after="100" w:afterAutospacing="1" w:line="240" w:lineRule="auto"/>
              <w:ind w:firstLine="0"/>
              <w:jc w:val="center"/>
              <w:rPr>
                <w:rFonts w:eastAsia="Times New Roman" w:cs="Arial"/>
                <w:b/>
                <w:bCs/>
                <w:sz w:val="18"/>
                <w:szCs w:val="18"/>
              </w:rPr>
            </w:pPr>
            <w:r w:rsidRPr="00A94E07">
              <w:rPr>
                <w:rFonts w:eastAsia="Times New Roman" w:cs="Arial"/>
                <w:b/>
                <w:bCs/>
                <w:sz w:val="18"/>
                <w:szCs w:val="18"/>
              </w:rPr>
              <w:t>GRAN TOTAL</w:t>
            </w:r>
          </w:p>
        </w:tc>
        <w:tc>
          <w:tcPr>
            <w:tcW w:w="4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3,150</w:t>
            </w:r>
          </w:p>
        </w:tc>
        <w:tc>
          <w:tcPr>
            <w:tcW w:w="754"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6,684.20</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1,254</w:t>
            </w:r>
          </w:p>
        </w:tc>
        <w:tc>
          <w:tcPr>
            <w:tcW w:w="577"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16,790.45</w:t>
            </w:r>
          </w:p>
        </w:tc>
        <w:tc>
          <w:tcPr>
            <w:tcW w:w="401"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 xml:space="preserve">  2.51 </w:t>
            </w:r>
          </w:p>
        </w:tc>
        <w:tc>
          <w:tcPr>
            <w:tcW w:w="500"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49%</w:t>
            </w:r>
          </w:p>
        </w:tc>
        <w:tc>
          <w:tcPr>
            <w:tcW w:w="436"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24%</w:t>
            </w:r>
          </w:p>
        </w:tc>
        <w:tc>
          <w:tcPr>
            <w:tcW w:w="589" w:type="pct"/>
            <w:shd w:val="clear" w:color="auto" w:fill="auto"/>
            <w:hideMark/>
          </w:tcPr>
          <w:p w:rsidR="00605307" w:rsidRPr="00A94E07" w:rsidRDefault="00605307" w:rsidP="00056F37">
            <w:pPr>
              <w:spacing w:before="100" w:beforeAutospacing="1" w:after="100" w:afterAutospacing="1" w:line="240" w:lineRule="auto"/>
              <w:ind w:firstLine="0"/>
              <w:jc w:val="right"/>
              <w:rPr>
                <w:rFonts w:eastAsia="Times New Roman" w:cs="Arial"/>
                <w:b/>
                <w:bCs/>
                <w:sz w:val="18"/>
                <w:szCs w:val="18"/>
              </w:rPr>
            </w:pPr>
            <w:r w:rsidRPr="00A94E07">
              <w:rPr>
                <w:rFonts w:eastAsia="Times New Roman" w:cs="Arial"/>
                <w:b/>
                <w:bCs/>
                <w:sz w:val="18"/>
                <w:szCs w:val="18"/>
              </w:rPr>
              <w:t>27%</w:t>
            </w:r>
          </w:p>
        </w:tc>
      </w:tr>
    </w:tbl>
    <w:p w:rsidR="00C04BDB" w:rsidRDefault="00C04BDB" w:rsidP="00605307"/>
    <w:p w:rsidR="00605307" w:rsidRDefault="00605307" w:rsidP="00605307">
      <w:r w:rsidRPr="009C3E63">
        <w:t xml:space="preserve">Para el caso de la porción del acuífero </w:t>
      </w:r>
      <w:r w:rsidR="009C3924">
        <w:t>Huamantla</w:t>
      </w:r>
      <w:r w:rsidRPr="009C3E63">
        <w:t xml:space="preserve">, </w:t>
      </w:r>
      <w:r w:rsidR="009C3924">
        <w:t xml:space="preserve">la fusión de </w:t>
      </w:r>
      <w:r w:rsidRPr="009C3E63">
        <w:t>los programas UEAEE y UPIH no increment</w:t>
      </w:r>
      <w:r w:rsidR="009C3924">
        <w:t xml:space="preserve">aron </w:t>
      </w:r>
      <w:r w:rsidRPr="009C3E63">
        <w:t xml:space="preserve">el monto de las inversiones por hectárea, pues en </w:t>
      </w:r>
      <w:r w:rsidR="009C3924">
        <w:t xml:space="preserve">el 2009 </w:t>
      </w:r>
      <w:r w:rsidRPr="009C3E63">
        <w:t>fue de tan solo $4,692.96 MN comparado con los $13,303.21 y $4,885.61 de UPIH y UEAEE</w:t>
      </w:r>
      <w:r w:rsidR="009C3924">
        <w:t>,</w:t>
      </w:r>
      <w:r w:rsidRPr="009C3E63">
        <w:t xml:space="preserve"> respectivamente </w:t>
      </w:r>
      <w:r w:rsidR="009C3924">
        <w:t>,</w:t>
      </w:r>
      <w:r w:rsidRPr="009C3E63">
        <w:t>en el período 2005-2008. Sin duda que aunque una superficie importante en Tlaxcala ha sido apoyada, los montos se quedan cortos comparados con los requeridos para una tecnificación integral de</w:t>
      </w:r>
      <w:r w:rsidR="009C3924">
        <w:t>l riego (</w:t>
      </w:r>
      <w:r w:rsidR="00BE2961">
        <w:fldChar w:fldCharType="begin"/>
      </w:r>
      <w:r w:rsidR="009C3924">
        <w:instrText xml:space="preserve"> REF _Ref264458893 \r \h </w:instrText>
      </w:r>
      <w:r w:rsidR="00BE2961">
        <w:fldChar w:fldCharType="separate"/>
      </w:r>
      <w:r w:rsidR="001C36B4">
        <w:t>Tabla 5.10</w:t>
      </w:r>
      <w:r w:rsidR="00BE2961">
        <w:fldChar w:fldCharType="end"/>
      </w:r>
      <w:r w:rsidR="009C3924">
        <w:t>)</w:t>
      </w:r>
    </w:p>
    <w:p w:rsidR="00605307" w:rsidRPr="009C3E63" w:rsidRDefault="00605307" w:rsidP="009C3924">
      <w:pPr>
        <w:pStyle w:val="Tabla1cap5"/>
      </w:pPr>
      <w:bookmarkStart w:id="51" w:name="_Ref262471962"/>
      <w:bookmarkStart w:id="52" w:name="_Toc262472929"/>
      <w:r w:rsidRPr="009C3E63">
        <w:lastRenderedPageBreak/>
        <w:t>Indicadores de los beneficios y participación de las inversiones realizadas en el acuífero Perote-</w:t>
      </w:r>
      <w:r w:rsidR="00106565">
        <w:t>Zalayeta</w:t>
      </w:r>
      <w:r w:rsidRPr="009C3E63">
        <w:t>, Veracruz en el período 2005-2009, en el marco de la Alianza Para El Campo, FIVERFAP</w:t>
      </w:r>
      <w:bookmarkEnd w:id="51"/>
      <w:bookmarkEnd w:id="52"/>
    </w:p>
    <w:tbl>
      <w:tblPr>
        <w:tblW w:w="5000" w:type="pct"/>
        <w:tblBorders>
          <w:top w:val="single" w:sz="12" w:space="0" w:color="008000"/>
          <w:bottom w:val="single" w:sz="12" w:space="0" w:color="008000"/>
        </w:tblBorders>
        <w:tblLook w:val="04A0"/>
      </w:tblPr>
      <w:tblGrid>
        <w:gridCol w:w="1515"/>
        <w:gridCol w:w="883"/>
        <w:gridCol w:w="1212"/>
        <w:gridCol w:w="907"/>
        <w:gridCol w:w="1381"/>
        <w:gridCol w:w="959"/>
        <w:gridCol w:w="927"/>
        <w:gridCol w:w="971"/>
        <w:gridCol w:w="1149"/>
      </w:tblGrid>
      <w:tr w:rsidR="00605307" w:rsidRPr="009C3924" w:rsidTr="008C7314">
        <w:trPr>
          <w:trHeight w:val="300"/>
        </w:trPr>
        <w:tc>
          <w:tcPr>
            <w:tcW w:w="765" w:type="pct"/>
            <w:vMerge w:val="restart"/>
            <w:tcBorders>
              <w:top w:val="single" w:sz="12" w:space="0" w:color="008000"/>
              <w:bottom w:val="single" w:sz="6" w:space="0" w:color="008000"/>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Programa</w:t>
            </w:r>
          </w:p>
        </w:tc>
        <w:tc>
          <w:tcPr>
            <w:tcW w:w="2212" w:type="pct"/>
            <w:gridSpan w:val="4"/>
            <w:tcBorders>
              <w:top w:val="single" w:sz="12" w:space="0" w:color="008000"/>
              <w:bottom w:val="single" w:sz="6" w:space="0" w:color="008000"/>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META</w:t>
            </w:r>
          </w:p>
        </w:tc>
        <w:tc>
          <w:tcPr>
            <w:tcW w:w="484" w:type="pct"/>
            <w:tcBorders>
              <w:top w:val="single" w:sz="12" w:space="0" w:color="008000"/>
              <w:bottom w:val="single" w:sz="6" w:space="0" w:color="008000"/>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 </w:t>
            </w:r>
          </w:p>
        </w:tc>
        <w:tc>
          <w:tcPr>
            <w:tcW w:w="1538" w:type="pct"/>
            <w:gridSpan w:val="3"/>
            <w:tcBorders>
              <w:top w:val="single" w:sz="12" w:space="0" w:color="008000"/>
              <w:bottom w:val="single" w:sz="6" w:space="0" w:color="008000"/>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 de participación en inversión</w:t>
            </w:r>
          </w:p>
        </w:tc>
      </w:tr>
      <w:tr w:rsidR="00605307" w:rsidRPr="009C3924" w:rsidTr="008C7314">
        <w:trPr>
          <w:trHeight w:val="600"/>
        </w:trPr>
        <w:tc>
          <w:tcPr>
            <w:tcW w:w="765" w:type="pct"/>
            <w:vMerge/>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left"/>
              <w:rPr>
                <w:rFonts w:eastAsia="Times New Roman" w:cs="Arial"/>
                <w:b/>
                <w:bCs/>
                <w:sz w:val="18"/>
                <w:szCs w:val="18"/>
              </w:rPr>
            </w:pPr>
          </w:p>
        </w:tc>
        <w:tc>
          <w:tcPr>
            <w:tcW w:w="446"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proofErr w:type="spellStart"/>
            <w:r w:rsidRPr="009C3924">
              <w:rPr>
                <w:rFonts w:eastAsia="Times New Roman" w:cs="Arial"/>
                <w:b/>
                <w:bCs/>
                <w:sz w:val="18"/>
                <w:szCs w:val="18"/>
              </w:rPr>
              <w:t>Hecta</w:t>
            </w:r>
            <w:proofErr w:type="spellEnd"/>
            <w:r w:rsidRPr="009C3924">
              <w:rPr>
                <w:rFonts w:eastAsia="Times New Roman" w:cs="Arial"/>
                <w:b/>
                <w:bCs/>
                <w:sz w:val="18"/>
                <w:szCs w:val="18"/>
              </w:rPr>
              <w:t>-rea</w:t>
            </w:r>
          </w:p>
        </w:tc>
        <w:tc>
          <w:tcPr>
            <w:tcW w:w="612"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$/ha</w:t>
            </w:r>
          </w:p>
        </w:tc>
        <w:tc>
          <w:tcPr>
            <w:tcW w:w="458"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proofErr w:type="spellStart"/>
            <w:r w:rsidRPr="009C3924">
              <w:rPr>
                <w:rFonts w:eastAsia="Times New Roman" w:cs="Arial"/>
                <w:b/>
                <w:bCs/>
                <w:sz w:val="18"/>
                <w:szCs w:val="18"/>
              </w:rPr>
              <w:t>Usua</w:t>
            </w:r>
            <w:proofErr w:type="spellEnd"/>
            <w:r w:rsidRPr="009C3924">
              <w:rPr>
                <w:rFonts w:eastAsia="Times New Roman" w:cs="Arial"/>
                <w:b/>
                <w:bCs/>
                <w:sz w:val="18"/>
                <w:szCs w:val="18"/>
              </w:rPr>
              <w:t>-</w:t>
            </w:r>
          </w:p>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proofErr w:type="spellStart"/>
            <w:r w:rsidRPr="009C3924">
              <w:rPr>
                <w:rFonts w:eastAsia="Times New Roman" w:cs="Arial"/>
                <w:b/>
                <w:bCs/>
                <w:sz w:val="18"/>
                <w:szCs w:val="18"/>
              </w:rPr>
              <w:t>rios</w:t>
            </w:r>
            <w:proofErr w:type="spellEnd"/>
          </w:p>
        </w:tc>
        <w:tc>
          <w:tcPr>
            <w:tcW w:w="697"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w:t>
            </w:r>
            <w:proofErr w:type="spellStart"/>
            <w:r w:rsidRPr="009C3924">
              <w:rPr>
                <w:rFonts w:eastAsia="Times New Roman" w:cs="Arial"/>
                <w:b/>
                <w:bCs/>
                <w:sz w:val="18"/>
                <w:szCs w:val="18"/>
              </w:rPr>
              <w:t>Us</w:t>
            </w:r>
            <w:proofErr w:type="spellEnd"/>
          </w:p>
        </w:tc>
        <w:tc>
          <w:tcPr>
            <w:tcW w:w="484"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Ha/</w:t>
            </w:r>
            <w:proofErr w:type="spellStart"/>
            <w:r w:rsidRPr="009C3924">
              <w:rPr>
                <w:rFonts w:eastAsia="Times New Roman" w:cs="Arial"/>
                <w:b/>
                <w:bCs/>
                <w:sz w:val="18"/>
                <w:szCs w:val="18"/>
              </w:rPr>
              <w:t>Us</w:t>
            </w:r>
            <w:proofErr w:type="spellEnd"/>
          </w:p>
        </w:tc>
        <w:tc>
          <w:tcPr>
            <w:tcW w:w="468"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Federal</w:t>
            </w:r>
          </w:p>
        </w:tc>
        <w:tc>
          <w:tcPr>
            <w:tcW w:w="490"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Estado</w:t>
            </w:r>
          </w:p>
        </w:tc>
        <w:tc>
          <w:tcPr>
            <w:tcW w:w="579" w:type="pct"/>
            <w:tcBorders>
              <w:bottom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Usuario</w:t>
            </w:r>
          </w:p>
        </w:tc>
      </w:tr>
      <w:tr w:rsidR="00605307" w:rsidRPr="009C3924" w:rsidTr="008C7314">
        <w:trPr>
          <w:trHeight w:val="422"/>
        </w:trPr>
        <w:tc>
          <w:tcPr>
            <w:tcW w:w="765"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UEAEE</w:t>
            </w:r>
          </w:p>
        </w:tc>
        <w:tc>
          <w:tcPr>
            <w:tcW w:w="446"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248</w:t>
            </w:r>
          </w:p>
        </w:tc>
        <w:tc>
          <w:tcPr>
            <w:tcW w:w="612"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10,677.56 </w:t>
            </w:r>
          </w:p>
        </w:tc>
        <w:tc>
          <w:tcPr>
            <w:tcW w:w="458"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248</w:t>
            </w:r>
          </w:p>
        </w:tc>
        <w:tc>
          <w:tcPr>
            <w:tcW w:w="697"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10,677.56 </w:t>
            </w:r>
          </w:p>
        </w:tc>
        <w:tc>
          <w:tcPr>
            <w:tcW w:w="484"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 xml:space="preserve">     1.00 </w:t>
            </w:r>
          </w:p>
        </w:tc>
        <w:tc>
          <w:tcPr>
            <w:tcW w:w="468"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62%</w:t>
            </w:r>
          </w:p>
        </w:tc>
        <w:tc>
          <w:tcPr>
            <w:tcW w:w="490"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24%</w:t>
            </w:r>
          </w:p>
        </w:tc>
        <w:tc>
          <w:tcPr>
            <w:tcW w:w="579" w:type="pct"/>
            <w:tcBorders>
              <w:top w:val="single" w:sz="4" w:space="0" w:color="auto"/>
            </w:tcBorders>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14%</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UPIH</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Subtotal 2005</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248</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10,677.56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248</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10,677.56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 xml:space="preserve">     1.00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62%</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24%</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14%</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UEAEE</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666</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 xml:space="preserve">   6,363.18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22</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 xml:space="preserve">  192,630.83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 xml:space="preserve"> 30.27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45%</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22%</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33%</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UPIH</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Subtotal 2006</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666</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6,363.18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22</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192,630.83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 xml:space="preserve"> 30.27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45%</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22%</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33%</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UEAEE</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607</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 xml:space="preserve">  10,729.77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156</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 xml:space="preserve">     41,749.80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 xml:space="preserve">      3.89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47%</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29%</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23%</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r w:rsidRPr="009C3924">
              <w:rPr>
                <w:rFonts w:eastAsia="Times New Roman" w:cs="Arial"/>
                <w:sz w:val="18"/>
                <w:szCs w:val="18"/>
              </w:rPr>
              <w:t>UPIH</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Subtotal 2007</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607</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10,729.77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156</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41,749.80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 xml:space="preserve">      3.89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47%</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29%</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23%</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sz w:val="18"/>
                <w:szCs w:val="18"/>
              </w:rPr>
            </w:pPr>
            <w:r w:rsidRPr="009C3924">
              <w:rPr>
                <w:rFonts w:eastAsia="Times New Roman" w:cs="Arial"/>
                <w:b/>
                <w:sz w:val="18"/>
                <w:szCs w:val="18"/>
              </w:rPr>
              <w:t>Subtotal 2008</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sz w:val="18"/>
                <w:szCs w:val="18"/>
              </w:rPr>
            </w:pPr>
            <w:proofErr w:type="spellStart"/>
            <w:r w:rsidRPr="009C3924">
              <w:rPr>
                <w:rFonts w:eastAsia="Times New Roman" w:cs="Arial"/>
                <w:sz w:val="18"/>
                <w:szCs w:val="18"/>
              </w:rPr>
              <w:t>Tecnific</w:t>
            </w:r>
            <w:proofErr w:type="spellEnd"/>
            <w:r w:rsidRPr="009C3924">
              <w:rPr>
                <w:rFonts w:eastAsia="Times New Roman" w:cs="Arial"/>
                <w:sz w:val="18"/>
                <w:szCs w:val="18"/>
              </w:rPr>
              <w:t>. U.R.</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123</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 xml:space="preserve"> 39,302.52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12</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 xml:space="preserve">  402,425.07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Cs/>
                <w:sz w:val="18"/>
                <w:szCs w:val="18"/>
              </w:rPr>
            </w:pPr>
            <w:r w:rsidRPr="009C3924">
              <w:rPr>
                <w:rFonts w:eastAsia="Times New Roman" w:cs="Arial"/>
                <w:bCs/>
                <w:sz w:val="18"/>
                <w:szCs w:val="18"/>
              </w:rPr>
              <w:t xml:space="preserve">   10.24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49%</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0%</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51%</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Subtotal 2009</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123</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39,302.52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12</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402,425.07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 xml:space="preserve">   10.24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49%</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0%</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51%</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rPr>
                <w:rFonts w:eastAsia="Times New Roman" w:cs="Arial"/>
                <w:bCs/>
                <w:sz w:val="18"/>
                <w:szCs w:val="18"/>
              </w:rPr>
            </w:pPr>
            <w:r w:rsidRPr="009C3924">
              <w:rPr>
                <w:rFonts w:eastAsia="Times New Roman" w:cs="Arial"/>
                <w:bCs/>
                <w:sz w:val="18"/>
                <w:szCs w:val="18"/>
              </w:rPr>
              <w:t>Total UEAEE</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bCs/>
                <w:sz w:val="18"/>
                <w:szCs w:val="18"/>
              </w:rPr>
            </w:pPr>
            <w:r w:rsidRPr="009C3924">
              <w:rPr>
                <w:bCs/>
                <w:sz w:val="18"/>
                <w:szCs w:val="18"/>
              </w:rPr>
              <w:t>1,521</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sz w:val="18"/>
                <w:szCs w:val="18"/>
              </w:rPr>
            </w:pPr>
            <w:r w:rsidRPr="009C3924">
              <w:rPr>
                <w:sz w:val="18"/>
                <w:szCs w:val="18"/>
              </w:rPr>
              <w:t xml:space="preserve">    8,809.26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bCs/>
                <w:sz w:val="18"/>
                <w:szCs w:val="18"/>
              </w:rPr>
            </w:pPr>
            <w:r w:rsidRPr="009C3924">
              <w:rPr>
                <w:bCs/>
                <w:sz w:val="18"/>
                <w:szCs w:val="18"/>
              </w:rPr>
              <w:t>426</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bCs/>
                <w:sz w:val="18"/>
                <w:szCs w:val="18"/>
              </w:rPr>
            </w:pPr>
            <w:r w:rsidRPr="009C3924">
              <w:rPr>
                <w:bCs/>
                <w:sz w:val="18"/>
                <w:szCs w:val="18"/>
              </w:rPr>
              <w:t xml:space="preserve">     31,452.77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sz w:val="18"/>
                <w:szCs w:val="18"/>
              </w:rPr>
            </w:pPr>
            <w:r w:rsidRPr="009C3924">
              <w:rPr>
                <w:sz w:val="18"/>
                <w:szCs w:val="18"/>
              </w:rPr>
              <w:t xml:space="preserve">      3.57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bCs/>
                <w:sz w:val="18"/>
                <w:szCs w:val="18"/>
              </w:rPr>
            </w:pPr>
            <w:r w:rsidRPr="009C3924">
              <w:rPr>
                <w:bCs/>
                <w:sz w:val="18"/>
                <w:szCs w:val="18"/>
              </w:rPr>
              <w:t xml:space="preserve">   49.44 </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bCs/>
                <w:sz w:val="18"/>
                <w:szCs w:val="18"/>
              </w:rPr>
            </w:pPr>
            <w:r w:rsidRPr="009C3924">
              <w:rPr>
                <w:bCs/>
                <w:sz w:val="18"/>
                <w:szCs w:val="18"/>
              </w:rPr>
              <w:t xml:space="preserve">    25.84 </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bCs/>
                <w:sz w:val="18"/>
                <w:szCs w:val="18"/>
              </w:rPr>
            </w:pPr>
            <w:r w:rsidRPr="009C3924">
              <w:rPr>
                <w:bCs/>
                <w:sz w:val="18"/>
                <w:szCs w:val="18"/>
              </w:rPr>
              <w:t xml:space="preserve">        24.72 </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left"/>
              <w:rPr>
                <w:rFonts w:eastAsia="Times New Roman" w:cs="Arial"/>
                <w:bCs/>
                <w:sz w:val="18"/>
                <w:szCs w:val="18"/>
              </w:rPr>
            </w:pPr>
            <w:r w:rsidRPr="009C3924">
              <w:rPr>
                <w:rFonts w:eastAsia="Times New Roman" w:cs="Arial"/>
                <w:bCs/>
                <w:sz w:val="18"/>
                <w:szCs w:val="18"/>
              </w:rPr>
              <w:t>Total UPHI</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sz w:val="18"/>
                <w:szCs w:val="18"/>
              </w:rPr>
            </w:pPr>
            <w:r w:rsidRPr="009C3924">
              <w:rPr>
                <w:rFonts w:eastAsia="Times New Roman" w:cs="Arial"/>
                <w:sz w:val="18"/>
                <w:szCs w:val="18"/>
              </w:rPr>
              <w:t>-</w:t>
            </w:r>
          </w:p>
        </w:tc>
      </w:tr>
      <w:tr w:rsidR="00605307" w:rsidRPr="009C3924" w:rsidTr="008C7314">
        <w:trPr>
          <w:trHeight w:val="300"/>
        </w:trPr>
        <w:tc>
          <w:tcPr>
            <w:tcW w:w="765" w:type="pct"/>
            <w:shd w:val="clear" w:color="auto" w:fill="auto"/>
            <w:hideMark/>
          </w:tcPr>
          <w:p w:rsidR="00605307" w:rsidRPr="009C3924" w:rsidRDefault="00605307" w:rsidP="00A94E07">
            <w:pPr>
              <w:spacing w:before="100" w:beforeAutospacing="1" w:after="100" w:afterAutospacing="1" w:line="240" w:lineRule="auto"/>
              <w:ind w:firstLine="0"/>
              <w:jc w:val="center"/>
              <w:rPr>
                <w:rFonts w:eastAsia="Times New Roman" w:cs="Arial"/>
                <w:b/>
                <w:bCs/>
                <w:sz w:val="18"/>
                <w:szCs w:val="18"/>
              </w:rPr>
            </w:pPr>
            <w:r w:rsidRPr="009C3924">
              <w:rPr>
                <w:rFonts w:eastAsia="Times New Roman" w:cs="Arial"/>
                <w:b/>
                <w:bCs/>
                <w:sz w:val="18"/>
                <w:szCs w:val="18"/>
              </w:rPr>
              <w:t>GRAN TOTAL</w:t>
            </w:r>
          </w:p>
        </w:tc>
        <w:tc>
          <w:tcPr>
            <w:tcW w:w="446"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1,644</w:t>
            </w:r>
          </w:p>
        </w:tc>
        <w:tc>
          <w:tcPr>
            <w:tcW w:w="612"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11,088.46 </w:t>
            </w:r>
          </w:p>
        </w:tc>
        <w:tc>
          <w:tcPr>
            <w:tcW w:w="45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438</w:t>
            </w:r>
          </w:p>
        </w:tc>
        <w:tc>
          <w:tcPr>
            <w:tcW w:w="697"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 xml:space="preserve">     41,616.39 </w:t>
            </w:r>
          </w:p>
        </w:tc>
        <w:tc>
          <w:tcPr>
            <w:tcW w:w="484"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bCs/>
                <w:sz w:val="18"/>
                <w:szCs w:val="18"/>
              </w:rPr>
            </w:pPr>
            <w:r w:rsidRPr="009C3924">
              <w:rPr>
                <w:rFonts w:eastAsia="Times New Roman" w:cs="Arial"/>
                <w:b/>
                <w:bCs/>
                <w:sz w:val="18"/>
                <w:szCs w:val="18"/>
              </w:rPr>
              <w:t xml:space="preserve">      3.75 </w:t>
            </w:r>
          </w:p>
        </w:tc>
        <w:tc>
          <w:tcPr>
            <w:tcW w:w="468"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49%</w:t>
            </w:r>
          </w:p>
        </w:tc>
        <w:tc>
          <w:tcPr>
            <w:tcW w:w="490"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19%</w:t>
            </w:r>
          </w:p>
        </w:tc>
        <w:tc>
          <w:tcPr>
            <w:tcW w:w="579" w:type="pct"/>
            <w:shd w:val="clear" w:color="auto" w:fill="auto"/>
            <w:hideMark/>
          </w:tcPr>
          <w:p w:rsidR="00605307" w:rsidRPr="009C3924" w:rsidRDefault="00605307" w:rsidP="00A94E07">
            <w:pPr>
              <w:spacing w:before="100" w:beforeAutospacing="1" w:after="100" w:afterAutospacing="1" w:line="240" w:lineRule="auto"/>
              <w:ind w:firstLine="0"/>
              <w:jc w:val="right"/>
              <w:rPr>
                <w:rFonts w:eastAsia="Times New Roman" w:cs="Arial"/>
                <w:b/>
                <w:sz w:val="18"/>
                <w:szCs w:val="18"/>
              </w:rPr>
            </w:pPr>
            <w:r w:rsidRPr="009C3924">
              <w:rPr>
                <w:rFonts w:eastAsia="Times New Roman" w:cs="Arial"/>
                <w:b/>
                <w:sz w:val="18"/>
                <w:szCs w:val="18"/>
              </w:rPr>
              <w:t>32%</w:t>
            </w:r>
          </w:p>
        </w:tc>
      </w:tr>
    </w:tbl>
    <w:p w:rsidR="00605307" w:rsidRPr="009C3E63" w:rsidRDefault="00605307" w:rsidP="00605307">
      <w:pPr>
        <w:rPr>
          <w:lang w:val="es-ES"/>
        </w:rPr>
      </w:pPr>
    </w:p>
    <w:p w:rsidR="00605307" w:rsidRDefault="009C3924" w:rsidP="00605307">
      <w:r>
        <w:t>Por su parte, la fusión de</w:t>
      </w:r>
      <w:r w:rsidR="00605307" w:rsidRPr="009C3E63">
        <w:t xml:space="preserve"> los programas UEAEE y UPIH, ha sido benéfico para el caso del </w:t>
      </w:r>
      <w:r>
        <w:t>acuífero Perote-Zalayeta</w:t>
      </w:r>
      <w:r w:rsidR="00605307" w:rsidRPr="009C3E63">
        <w:t xml:space="preserve">, puesto que las limitantes de inversión por pozo y hectárea que tenían estos programas, fueron modificados para permitir una mayor inversión por hectárea. En </w:t>
      </w:r>
      <w:r w:rsidR="00605307">
        <w:t xml:space="preserve">la </w:t>
      </w:r>
      <w:r w:rsidR="00BE2961">
        <w:fldChar w:fldCharType="begin"/>
      </w:r>
      <w:r w:rsidR="00605307">
        <w:instrText xml:space="preserve"> REF _Ref262471962 \r \h </w:instrText>
      </w:r>
      <w:r w:rsidR="00BE2961">
        <w:fldChar w:fldCharType="separate"/>
      </w:r>
      <w:r w:rsidR="001C36B4">
        <w:t>Tabla 5.11</w:t>
      </w:r>
      <w:r w:rsidR="00BE2961">
        <w:fldChar w:fldCharType="end"/>
      </w:r>
      <w:r w:rsidR="00605307" w:rsidRPr="009C3E63">
        <w:t xml:space="preserve"> se anotan las inversiones promedio por hectárea realizadas en el programa UEAEE fueron del orden de $6,363.18 y de $10,729.77 entre los años 2005, 2006 y 2007, sin embrago</w:t>
      </w:r>
      <w:r>
        <w:t>,</w:t>
      </w:r>
      <w:r w:rsidR="00605307" w:rsidRPr="009C3E63">
        <w:t xml:space="preserve"> para el año 2009 en el programa de modernización y  tecnificación de unidades de riego, el monto promedio de inversión por hectárea subió a $39,302.52.</w:t>
      </w:r>
    </w:p>
    <w:p w:rsidR="00605307" w:rsidRDefault="00605307" w:rsidP="009C3924">
      <w:pPr>
        <w:pStyle w:val="Tabla1cap5"/>
      </w:pPr>
      <w:bookmarkStart w:id="53" w:name="_Toc262472930"/>
      <w:r w:rsidRPr="00A34CB6">
        <w:t>Indicadores de los beneficios, y participación de las inversiones realizadas en el acuífero desglosado por Estado, en el marco de la Alianza Para El Campo.</w:t>
      </w:r>
      <w:bookmarkEnd w:id="53"/>
    </w:p>
    <w:tbl>
      <w:tblPr>
        <w:tblW w:w="5000" w:type="pct"/>
        <w:tblBorders>
          <w:top w:val="single" w:sz="12" w:space="0" w:color="008000"/>
          <w:bottom w:val="single" w:sz="12" w:space="0" w:color="008000"/>
        </w:tblBorders>
        <w:tblLook w:val="04A0"/>
      </w:tblPr>
      <w:tblGrid>
        <w:gridCol w:w="1666"/>
        <w:gridCol w:w="879"/>
        <w:gridCol w:w="1119"/>
        <w:gridCol w:w="903"/>
        <w:gridCol w:w="1375"/>
        <w:gridCol w:w="929"/>
        <w:gridCol w:w="1082"/>
        <w:gridCol w:w="967"/>
        <w:gridCol w:w="984"/>
      </w:tblGrid>
      <w:tr w:rsidR="00605307" w:rsidRPr="0032318C" w:rsidTr="003C7F1A">
        <w:trPr>
          <w:trHeight w:val="300"/>
          <w:tblHeader/>
        </w:trPr>
        <w:tc>
          <w:tcPr>
            <w:tcW w:w="841" w:type="pct"/>
            <w:vMerge w:val="restart"/>
            <w:tcBorders>
              <w:top w:val="single" w:sz="12" w:space="0" w:color="008000"/>
              <w:bottom w:val="single" w:sz="6" w:space="0" w:color="008000"/>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Programa</w:t>
            </w:r>
          </w:p>
        </w:tc>
        <w:tc>
          <w:tcPr>
            <w:tcW w:w="2158" w:type="pct"/>
            <w:gridSpan w:val="4"/>
            <w:tcBorders>
              <w:top w:val="single" w:sz="12" w:space="0" w:color="008000"/>
              <w:bottom w:val="single" w:sz="6" w:space="0" w:color="008000"/>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META</w:t>
            </w:r>
          </w:p>
        </w:tc>
        <w:tc>
          <w:tcPr>
            <w:tcW w:w="469" w:type="pct"/>
            <w:tcBorders>
              <w:top w:val="single" w:sz="12" w:space="0" w:color="008000"/>
              <w:bottom w:val="single" w:sz="6" w:space="0" w:color="008000"/>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sz w:val="20"/>
              </w:rPr>
            </w:pPr>
            <w:r w:rsidRPr="0032318C">
              <w:rPr>
                <w:rFonts w:eastAsia="Times New Roman" w:cs="Arial"/>
                <w:sz w:val="20"/>
              </w:rPr>
              <w:t> </w:t>
            </w:r>
          </w:p>
        </w:tc>
        <w:tc>
          <w:tcPr>
            <w:tcW w:w="1531" w:type="pct"/>
            <w:gridSpan w:val="3"/>
            <w:tcBorders>
              <w:top w:val="single" w:sz="12" w:space="0" w:color="008000"/>
              <w:bottom w:val="single" w:sz="6" w:space="0" w:color="008000"/>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sz w:val="20"/>
              </w:rPr>
            </w:pPr>
            <w:r w:rsidRPr="0032318C">
              <w:rPr>
                <w:rFonts w:eastAsia="Times New Roman" w:cs="Arial"/>
                <w:sz w:val="20"/>
              </w:rPr>
              <w:t>% de participación en inversión</w:t>
            </w:r>
          </w:p>
        </w:tc>
      </w:tr>
      <w:tr w:rsidR="00605307" w:rsidRPr="0032318C" w:rsidTr="003C7F1A">
        <w:trPr>
          <w:trHeight w:val="467"/>
          <w:tblHeader/>
        </w:trPr>
        <w:tc>
          <w:tcPr>
            <w:tcW w:w="841" w:type="pct"/>
            <w:vMerge/>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
                <w:bCs/>
                <w:sz w:val="20"/>
              </w:rPr>
            </w:pPr>
          </w:p>
        </w:tc>
        <w:tc>
          <w:tcPr>
            <w:tcW w:w="444"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Ha</w:t>
            </w:r>
          </w:p>
        </w:tc>
        <w:tc>
          <w:tcPr>
            <w:tcW w:w="565"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$/ha</w:t>
            </w:r>
          </w:p>
        </w:tc>
        <w:tc>
          <w:tcPr>
            <w:tcW w:w="456"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proofErr w:type="spellStart"/>
            <w:r w:rsidRPr="0032318C">
              <w:rPr>
                <w:rFonts w:eastAsia="Times New Roman" w:cs="Arial"/>
                <w:b/>
                <w:bCs/>
                <w:sz w:val="20"/>
              </w:rPr>
              <w:t>Us</w:t>
            </w:r>
            <w:proofErr w:type="spellEnd"/>
          </w:p>
        </w:tc>
        <w:tc>
          <w:tcPr>
            <w:tcW w:w="694"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w:t>
            </w:r>
            <w:proofErr w:type="spellStart"/>
            <w:r w:rsidRPr="0032318C">
              <w:rPr>
                <w:rFonts w:eastAsia="Times New Roman" w:cs="Arial"/>
                <w:b/>
                <w:bCs/>
                <w:sz w:val="20"/>
              </w:rPr>
              <w:t>Us</w:t>
            </w:r>
            <w:proofErr w:type="spellEnd"/>
          </w:p>
        </w:tc>
        <w:tc>
          <w:tcPr>
            <w:tcW w:w="469"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Ha/</w:t>
            </w:r>
            <w:proofErr w:type="spellStart"/>
            <w:r w:rsidRPr="0032318C">
              <w:rPr>
                <w:rFonts w:eastAsia="Times New Roman" w:cs="Arial"/>
                <w:b/>
                <w:bCs/>
                <w:sz w:val="20"/>
              </w:rPr>
              <w:t>Us</w:t>
            </w:r>
            <w:proofErr w:type="spellEnd"/>
          </w:p>
        </w:tc>
        <w:tc>
          <w:tcPr>
            <w:tcW w:w="546"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Federal</w:t>
            </w:r>
          </w:p>
        </w:tc>
        <w:tc>
          <w:tcPr>
            <w:tcW w:w="488"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r w:rsidRPr="0032318C">
              <w:rPr>
                <w:rFonts w:eastAsia="Times New Roman" w:cs="Arial"/>
                <w:b/>
                <w:bCs/>
                <w:sz w:val="20"/>
              </w:rPr>
              <w:t>Estado</w:t>
            </w:r>
          </w:p>
        </w:tc>
        <w:tc>
          <w:tcPr>
            <w:tcW w:w="497" w:type="pct"/>
            <w:tcBorders>
              <w:bottom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center"/>
              <w:rPr>
                <w:rFonts w:eastAsia="Times New Roman" w:cs="Arial"/>
                <w:b/>
                <w:bCs/>
                <w:sz w:val="20"/>
              </w:rPr>
            </w:pPr>
            <w:proofErr w:type="spellStart"/>
            <w:r w:rsidRPr="0032318C">
              <w:rPr>
                <w:rFonts w:eastAsia="Times New Roman" w:cs="Arial"/>
                <w:b/>
                <w:bCs/>
                <w:sz w:val="20"/>
              </w:rPr>
              <w:t>Us</w:t>
            </w:r>
            <w:proofErr w:type="spellEnd"/>
          </w:p>
        </w:tc>
      </w:tr>
      <w:tr w:rsidR="00605307" w:rsidRPr="0032318C" w:rsidTr="008C7314">
        <w:trPr>
          <w:trHeight w:val="193"/>
        </w:trPr>
        <w:tc>
          <w:tcPr>
            <w:tcW w:w="841" w:type="pct"/>
            <w:tcBorders>
              <w:top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UEAEE</w:t>
            </w:r>
          </w:p>
        </w:tc>
        <w:tc>
          <w:tcPr>
            <w:tcW w:w="444" w:type="pct"/>
            <w:tcBorders>
              <w:top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4,586 </w:t>
            </w:r>
          </w:p>
        </w:tc>
        <w:tc>
          <w:tcPr>
            <w:tcW w:w="565" w:type="pct"/>
            <w:tcBorders>
              <w:top w:val="single" w:sz="4" w:space="0" w:color="auto"/>
            </w:tcBorders>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 xml:space="preserve"> 5,625.95 </w:t>
            </w:r>
          </w:p>
        </w:tc>
        <w:tc>
          <w:tcPr>
            <w:tcW w:w="456" w:type="pct"/>
            <w:tcBorders>
              <w:top w:val="single" w:sz="4" w:space="0" w:color="auto"/>
            </w:tcBorders>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1,877 </w:t>
            </w:r>
          </w:p>
        </w:tc>
        <w:tc>
          <w:tcPr>
            <w:tcW w:w="694" w:type="pct"/>
            <w:tcBorders>
              <w:top w:val="single" w:sz="4" w:space="0" w:color="auto"/>
            </w:tcBorders>
            <w:shd w:val="clear" w:color="auto" w:fill="auto"/>
            <w:hideMark/>
          </w:tcPr>
          <w:p w:rsidR="00605307" w:rsidRPr="0032318C" w:rsidRDefault="00605307" w:rsidP="00056F37">
            <w:pPr>
              <w:spacing w:before="100" w:beforeAutospacing="1" w:after="100" w:afterAutospacing="1"/>
              <w:ind w:firstLine="0"/>
              <w:rPr>
                <w:sz w:val="20"/>
              </w:rPr>
            </w:pPr>
            <w:r w:rsidRPr="0032318C">
              <w:rPr>
                <w:sz w:val="20"/>
              </w:rPr>
              <w:t xml:space="preserve">    13,745.94 </w:t>
            </w:r>
          </w:p>
        </w:tc>
        <w:tc>
          <w:tcPr>
            <w:tcW w:w="469" w:type="pct"/>
            <w:tcBorders>
              <w:top w:val="single" w:sz="4" w:space="0" w:color="auto"/>
            </w:tcBorders>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 xml:space="preserve">     2.44 </w:t>
            </w:r>
          </w:p>
        </w:tc>
        <w:tc>
          <w:tcPr>
            <w:tcW w:w="546" w:type="pct"/>
            <w:tcBorders>
              <w:top w:val="single" w:sz="4" w:space="0" w:color="auto"/>
            </w:tcBorders>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39</w:t>
            </w:r>
          </w:p>
        </w:tc>
        <w:tc>
          <w:tcPr>
            <w:tcW w:w="488" w:type="pct"/>
            <w:tcBorders>
              <w:top w:val="single" w:sz="4" w:space="0" w:color="auto"/>
            </w:tcBorders>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8</w:t>
            </w:r>
          </w:p>
        </w:tc>
        <w:tc>
          <w:tcPr>
            <w:tcW w:w="497" w:type="pct"/>
            <w:tcBorders>
              <w:top w:val="single" w:sz="4" w:space="0" w:color="auto"/>
            </w:tcBorders>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53</w:t>
            </w:r>
          </w:p>
        </w:tc>
      </w:tr>
      <w:tr w:rsidR="00605307" w:rsidRPr="0032318C" w:rsidTr="008C7314">
        <w:trPr>
          <w:trHeight w:val="235"/>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UPIH</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1,778 </w:t>
            </w:r>
          </w:p>
        </w:tc>
        <w:tc>
          <w:tcPr>
            <w:tcW w:w="565"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 xml:space="preserve"> 6,828.83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750 </w:t>
            </w:r>
          </w:p>
        </w:tc>
        <w:tc>
          <w:tcPr>
            <w:tcW w:w="694" w:type="pct"/>
            <w:shd w:val="clear" w:color="auto" w:fill="auto"/>
            <w:hideMark/>
          </w:tcPr>
          <w:p w:rsidR="00605307" w:rsidRPr="0032318C" w:rsidRDefault="00605307" w:rsidP="00056F37">
            <w:pPr>
              <w:spacing w:before="100" w:beforeAutospacing="1" w:after="100" w:afterAutospacing="1"/>
              <w:ind w:firstLine="0"/>
              <w:rPr>
                <w:sz w:val="20"/>
              </w:rPr>
            </w:pPr>
            <w:r w:rsidRPr="0032318C">
              <w:rPr>
                <w:sz w:val="20"/>
              </w:rPr>
              <w:t xml:space="preserve">    16,196.17 </w:t>
            </w:r>
          </w:p>
        </w:tc>
        <w:tc>
          <w:tcPr>
            <w:tcW w:w="469"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 xml:space="preserve">     2.37 </w:t>
            </w:r>
          </w:p>
        </w:tc>
        <w:tc>
          <w:tcPr>
            <w:tcW w:w="546"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42</w:t>
            </w:r>
          </w:p>
        </w:tc>
        <w:tc>
          <w:tcPr>
            <w:tcW w:w="488"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4</w:t>
            </w:r>
          </w:p>
        </w:tc>
        <w:tc>
          <w:tcPr>
            <w:tcW w:w="497"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54</w:t>
            </w:r>
          </w:p>
        </w:tc>
      </w:tr>
      <w:tr w:rsidR="00605307" w:rsidRPr="0032318C" w:rsidTr="008C7314">
        <w:trPr>
          <w:trHeight w:val="280"/>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Cs/>
                <w:sz w:val="20"/>
              </w:rPr>
            </w:pPr>
            <w:r w:rsidRPr="0032318C">
              <w:rPr>
                <w:rFonts w:eastAsia="Times New Roman" w:cs="Arial"/>
                <w:bCs/>
                <w:sz w:val="20"/>
              </w:rPr>
              <w:t>MTUR</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782 </w:t>
            </w:r>
          </w:p>
        </w:tc>
        <w:tc>
          <w:tcPr>
            <w:tcW w:w="565"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 xml:space="preserve">9,156.49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256 </w:t>
            </w:r>
          </w:p>
        </w:tc>
        <w:tc>
          <w:tcPr>
            <w:tcW w:w="694" w:type="pct"/>
            <w:shd w:val="clear" w:color="auto" w:fill="auto"/>
            <w:hideMark/>
          </w:tcPr>
          <w:p w:rsidR="00605307" w:rsidRPr="0032318C" w:rsidRDefault="00605307" w:rsidP="00056F37">
            <w:pPr>
              <w:spacing w:before="100" w:beforeAutospacing="1" w:after="100" w:afterAutospacing="1"/>
              <w:ind w:firstLine="0"/>
              <w:rPr>
                <w:sz w:val="20"/>
              </w:rPr>
            </w:pPr>
            <w:r w:rsidRPr="0032318C">
              <w:rPr>
                <w:sz w:val="20"/>
              </w:rPr>
              <w:t xml:space="preserve">      9,778.21 </w:t>
            </w:r>
          </w:p>
        </w:tc>
        <w:tc>
          <w:tcPr>
            <w:tcW w:w="469"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 xml:space="preserve">     3.06 </w:t>
            </w:r>
          </w:p>
        </w:tc>
        <w:tc>
          <w:tcPr>
            <w:tcW w:w="546"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49</w:t>
            </w:r>
          </w:p>
        </w:tc>
        <w:tc>
          <w:tcPr>
            <w:tcW w:w="488"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0</w:t>
            </w:r>
          </w:p>
        </w:tc>
        <w:tc>
          <w:tcPr>
            <w:tcW w:w="497" w:type="pct"/>
            <w:shd w:val="clear" w:color="auto" w:fill="auto"/>
            <w:hideMark/>
          </w:tcPr>
          <w:p w:rsidR="00605307" w:rsidRPr="0032318C" w:rsidRDefault="00605307" w:rsidP="00056F37">
            <w:pPr>
              <w:spacing w:before="100" w:beforeAutospacing="1" w:after="100" w:afterAutospacing="1"/>
              <w:ind w:firstLine="0"/>
              <w:jc w:val="right"/>
              <w:rPr>
                <w:rFonts w:cs="Arial"/>
                <w:sz w:val="20"/>
              </w:rPr>
            </w:pPr>
            <w:r w:rsidRPr="0032318C">
              <w:rPr>
                <w:rFonts w:cs="Arial"/>
                <w:sz w:val="20"/>
              </w:rPr>
              <w:t>51</w:t>
            </w:r>
          </w:p>
        </w:tc>
      </w:tr>
      <w:tr w:rsidR="00605307" w:rsidRPr="0032318C" w:rsidTr="008C7314">
        <w:trPr>
          <w:trHeight w:val="25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
                <w:sz w:val="20"/>
              </w:rPr>
            </w:pPr>
            <w:r w:rsidRPr="0032318C">
              <w:rPr>
                <w:rFonts w:eastAsia="Times New Roman" w:cs="Arial"/>
                <w:b/>
                <w:sz w:val="20"/>
              </w:rPr>
              <w:t>Total Puebla</w:t>
            </w:r>
          </w:p>
        </w:tc>
        <w:tc>
          <w:tcPr>
            <w:tcW w:w="444" w:type="pct"/>
            <w:shd w:val="clear" w:color="auto" w:fill="auto"/>
            <w:hideMark/>
          </w:tcPr>
          <w:p w:rsidR="00605307" w:rsidRPr="0032318C" w:rsidRDefault="00605307" w:rsidP="00056F37">
            <w:pPr>
              <w:spacing w:before="100" w:beforeAutospacing="1" w:after="100" w:afterAutospacing="1"/>
              <w:ind w:firstLine="0"/>
              <w:jc w:val="right"/>
              <w:rPr>
                <w:b/>
                <w:sz w:val="20"/>
              </w:rPr>
            </w:pPr>
            <w:r w:rsidRPr="0032318C">
              <w:rPr>
                <w:b/>
                <w:sz w:val="20"/>
              </w:rPr>
              <w:t xml:space="preserve">  7,146</w:t>
            </w:r>
          </w:p>
        </w:tc>
        <w:tc>
          <w:tcPr>
            <w:tcW w:w="565" w:type="pct"/>
            <w:shd w:val="clear" w:color="auto" w:fill="auto"/>
            <w:hideMark/>
          </w:tcPr>
          <w:p w:rsidR="00605307" w:rsidRPr="0032318C" w:rsidRDefault="00605307" w:rsidP="00056F37">
            <w:pPr>
              <w:spacing w:before="100" w:beforeAutospacing="1" w:after="100" w:afterAutospacing="1"/>
              <w:ind w:firstLine="0"/>
              <w:jc w:val="right"/>
              <w:rPr>
                <w:b/>
                <w:sz w:val="20"/>
              </w:rPr>
            </w:pPr>
            <w:r w:rsidRPr="0032318C">
              <w:rPr>
                <w:sz w:val="20"/>
              </w:rPr>
              <w:t xml:space="preserve">  </w:t>
            </w:r>
            <w:r w:rsidRPr="0032318C">
              <w:rPr>
                <w:b/>
                <w:sz w:val="20"/>
              </w:rPr>
              <w:t xml:space="preserve">7,407.19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sz w:val="20"/>
              </w:rPr>
            </w:pPr>
            <w:r w:rsidRPr="0032318C">
              <w:rPr>
                <w:rFonts w:eastAsia="Times New Roman" w:cs="Arial"/>
                <w:b/>
                <w:sz w:val="20"/>
              </w:rPr>
              <w:t>2,883</w:t>
            </w:r>
          </w:p>
        </w:tc>
        <w:tc>
          <w:tcPr>
            <w:tcW w:w="694" w:type="pct"/>
            <w:shd w:val="clear" w:color="auto" w:fill="auto"/>
            <w:hideMark/>
          </w:tcPr>
          <w:p w:rsidR="00605307" w:rsidRPr="0032318C" w:rsidRDefault="00605307" w:rsidP="00056F37">
            <w:pPr>
              <w:spacing w:before="100" w:beforeAutospacing="1" w:after="100" w:afterAutospacing="1"/>
              <w:ind w:firstLine="0"/>
              <w:rPr>
                <w:b/>
                <w:sz w:val="20"/>
              </w:rPr>
            </w:pPr>
            <w:r w:rsidRPr="0032318C">
              <w:rPr>
                <w:sz w:val="20"/>
              </w:rPr>
              <w:t xml:space="preserve">     </w:t>
            </w:r>
            <w:r w:rsidRPr="0032318C">
              <w:rPr>
                <w:b/>
                <w:sz w:val="20"/>
              </w:rPr>
              <w:t xml:space="preserve">8,364.38 </w:t>
            </w:r>
          </w:p>
        </w:tc>
        <w:tc>
          <w:tcPr>
            <w:tcW w:w="469" w:type="pct"/>
            <w:shd w:val="clear" w:color="auto" w:fill="auto"/>
            <w:hideMark/>
          </w:tcPr>
          <w:p w:rsidR="00605307" w:rsidRPr="0032318C" w:rsidRDefault="00605307" w:rsidP="00056F37">
            <w:pPr>
              <w:spacing w:before="100" w:beforeAutospacing="1" w:after="100" w:afterAutospacing="1"/>
              <w:ind w:firstLine="0"/>
              <w:jc w:val="right"/>
              <w:rPr>
                <w:rFonts w:cs="Arial"/>
                <w:b/>
                <w:sz w:val="20"/>
              </w:rPr>
            </w:pPr>
            <w:r w:rsidRPr="0032318C">
              <w:rPr>
                <w:rFonts w:cs="Arial"/>
                <w:b/>
                <w:sz w:val="20"/>
              </w:rPr>
              <w:t>2.48</w:t>
            </w:r>
          </w:p>
        </w:tc>
        <w:tc>
          <w:tcPr>
            <w:tcW w:w="546" w:type="pct"/>
            <w:shd w:val="clear" w:color="auto" w:fill="auto"/>
            <w:hideMark/>
          </w:tcPr>
          <w:p w:rsidR="00605307" w:rsidRPr="0032318C" w:rsidRDefault="00605307" w:rsidP="00056F37">
            <w:pPr>
              <w:spacing w:before="100" w:beforeAutospacing="1" w:after="100" w:afterAutospacing="1"/>
              <w:ind w:firstLine="0"/>
              <w:jc w:val="right"/>
              <w:rPr>
                <w:b/>
                <w:sz w:val="20"/>
              </w:rPr>
            </w:pPr>
            <w:r w:rsidRPr="0032318C">
              <w:rPr>
                <w:b/>
                <w:sz w:val="20"/>
              </w:rPr>
              <w:t>42</w:t>
            </w:r>
          </w:p>
        </w:tc>
        <w:tc>
          <w:tcPr>
            <w:tcW w:w="488" w:type="pct"/>
            <w:shd w:val="clear" w:color="auto" w:fill="auto"/>
            <w:hideMark/>
          </w:tcPr>
          <w:p w:rsidR="00605307" w:rsidRPr="0032318C" w:rsidRDefault="00605307" w:rsidP="00056F37">
            <w:pPr>
              <w:spacing w:before="100" w:beforeAutospacing="1" w:after="100" w:afterAutospacing="1"/>
              <w:ind w:firstLine="0"/>
              <w:jc w:val="right"/>
              <w:rPr>
                <w:b/>
                <w:sz w:val="20"/>
              </w:rPr>
            </w:pPr>
            <w:r w:rsidRPr="0032318C">
              <w:rPr>
                <w:b/>
                <w:sz w:val="20"/>
              </w:rPr>
              <w:t>5</w:t>
            </w:r>
          </w:p>
        </w:tc>
        <w:tc>
          <w:tcPr>
            <w:tcW w:w="497" w:type="pct"/>
            <w:shd w:val="clear" w:color="auto" w:fill="auto"/>
            <w:hideMark/>
          </w:tcPr>
          <w:p w:rsidR="00605307" w:rsidRPr="0032318C" w:rsidRDefault="00605307" w:rsidP="00056F37">
            <w:pPr>
              <w:spacing w:before="100" w:beforeAutospacing="1" w:after="100" w:afterAutospacing="1"/>
              <w:ind w:firstLine="0"/>
              <w:jc w:val="right"/>
              <w:rPr>
                <w:b/>
                <w:sz w:val="20"/>
              </w:rPr>
            </w:pPr>
            <w:r w:rsidRPr="0032318C">
              <w:rPr>
                <w:b/>
                <w:sz w:val="20"/>
              </w:rPr>
              <w:t>53</w:t>
            </w:r>
          </w:p>
        </w:tc>
      </w:tr>
      <w:tr w:rsidR="00605307" w:rsidRPr="0032318C" w:rsidTr="008C7314">
        <w:trPr>
          <w:trHeight w:val="288"/>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UEAEE</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1,988</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4,885.61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828</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11,730.18</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 xml:space="preserve"> 2.40 </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48</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24</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28</w:t>
            </w:r>
          </w:p>
        </w:tc>
      </w:tr>
      <w:tr w:rsidR="00605307" w:rsidRPr="0032318C" w:rsidTr="008C7314">
        <w:trPr>
          <w:trHeight w:val="265"/>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UPIH</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684</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13,303.21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226</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40,262.80</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 xml:space="preserve">   3.03 </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50</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25</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25</w:t>
            </w:r>
          </w:p>
        </w:tc>
      </w:tr>
      <w:tr w:rsidR="00605307" w:rsidRPr="0032318C" w:rsidTr="008C7314">
        <w:trPr>
          <w:trHeight w:val="29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Cs/>
                <w:sz w:val="20"/>
              </w:rPr>
            </w:pPr>
            <w:r w:rsidRPr="0032318C">
              <w:rPr>
                <w:rFonts w:eastAsia="Times New Roman" w:cs="Arial"/>
                <w:bCs/>
                <w:sz w:val="20"/>
              </w:rPr>
              <w:lastRenderedPageBreak/>
              <w:t>MTUR</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478</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4,692.96</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200</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11,216.18</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 xml:space="preserve">   2.39 </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50</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24</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26</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
                <w:sz w:val="20"/>
              </w:rPr>
            </w:pPr>
            <w:r w:rsidRPr="0032318C">
              <w:rPr>
                <w:rFonts w:eastAsia="Times New Roman" w:cs="Arial"/>
                <w:b/>
                <w:sz w:val="20"/>
              </w:rPr>
              <w:t>Total Tlaxcala</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3,150</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6,684.20</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1,254</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16,790.45</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 xml:space="preserve">  2.51 </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49</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24</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27</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UEAEE</w:t>
            </w:r>
          </w:p>
        </w:tc>
        <w:tc>
          <w:tcPr>
            <w:tcW w:w="444" w:type="pct"/>
            <w:shd w:val="clear" w:color="auto" w:fill="auto"/>
            <w:hideMark/>
          </w:tcPr>
          <w:p w:rsidR="00605307" w:rsidRPr="0032318C" w:rsidRDefault="00605307" w:rsidP="00056F37">
            <w:pPr>
              <w:spacing w:before="100" w:beforeAutospacing="1" w:after="100" w:afterAutospacing="1"/>
              <w:ind w:firstLine="0"/>
              <w:jc w:val="right"/>
              <w:rPr>
                <w:bCs/>
                <w:sz w:val="20"/>
              </w:rPr>
            </w:pPr>
            <w:r w:rsidRPr="0032318C">
              <w:rPr>
                <w:bCs/>
                <w:sz w:val="20"/>
              </w:rPr>
              <w:t>1,521</w:t>
            </w:r>
          </w:p>
        </w:tc>
        <w:tc>
          <w:tcPr>
            <w:tcW w:w="565"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8,809.26 </w:t>
            </w:r>
          </w:p>
        </w:tc>
        <w:tc>
          <w:tcPr>
            <w:tcW w:w="456" w:type="pct"/>
            <w:shd w:val="clear" w:color="auto" w:fill="auto"/>
            <w:hideMark/>
          </w:tcPr>
          <w:p w:rsidR="00605307" w:rsidRPr="0032318C" w:rsidRDefault="00605307" w:rsidP="00056F37">
            <w:pPr>
              <w:spacing w:before="100" w:beforeAutospacing="1" w:after="100" w:afterAutospacing="1"/>
              <w:ind w:firstLine="0"/>
              <w:jc w:val="right"/>
              <w:rPr>
                <w:bCs/>
                <w:sz w:val="20"/>
              </w:rPr>
            </w:pPr>
            <w:r w:rsidRPr="0032318C">
              <w:rPr>
                <w:bCs/>
                <w:sz w:val="20"/>
              </w:rPr>
              <w:t>426</w:t>
            </w:r>
          </w:p>
        </w:tc>
        <w:tc>
          <w:tcPr>
            <w:tcW w:w="694" w:type="pct"/>
            <w:shd w:val="clear" w:color="auto" w:fill="auto"/>
            <w:hideMark/>
          </w:tcPr>
          <w:p w:rsidR="00605307" w:rsidRPr="0032318C" w:rsidRDefault="00605307" w:rsidP="00056F37">
            <w:pPr>
              <w:spacing w:before="100" w:beforeAutospacing="1" w:after="100" w:afterAutospacing="1"/>
              <w:ind w:firstLine="0"/>
              <w:jc w:val="right"/>
              <w:rPr>
                <w:bCs/>
                <w:sz w:val="20"/>
              </w:rPr>
            </w:pPr>
            <w:r w:rsidRPr="0032318C">
              <w:rPr>
                <w:bCs/>
                <w:sz w:val="20"/>
              </w:rPr>
              <w:t xml:space="preserve">    31,452.77 </w:t>
            </w:r>
          </w:p>
        </w:tc>
        <w:tc>
          <w:tcPr>
            <w:tcW w:w="469"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3.57 </w:t>
            </w:r>
          </w:p>
        </w:tc>
        <w:tc>
          <w:tcPr>
            <w:tcW w:w="546" w:type="pct"/>
            <w:shd w:val="clear" w:color="auto" w:fill="auto"/>
            <w:hideMark/>
          </w:tcPr>
          <w:p w:rsidR="00605307" w:rsidRPr="0032318C" w:rsidRDefault="00605307" w:rsidP="00056F37">
            <w:pPr>
              <w:spacing w:before="100" w:beforeAutospacing="1" w:after="100" w:afterAutospacing="1"/>
              <w:ind w:firstLine="0"/>
              <w:jc w:val="right"/>
              <w:rPr>
                <w:bCs/>
                <w:sz w:val="20"/>
              </w:rPr>
            </w:pPr>
            <w:r w:rsidRPr="0032318C">
              <w:rPr>
                <w:bCs/>
                <w:sz w:val="20"/>
              </w:rPr>
              <w:t xml:space="preserve">   49 </w:t>
            </w:r>
          </w:p>
        </w:tc>
        <w:tc>
          <w:tcPr>
            <w:tcW w:w="488" w:type="pct"/>
            <w:shd w:val="clear" w:color="auto" w:fill="auto"/>
            <w:hideMark/>
          </w:tcPr>
          <w:p w:rsidR="00605307" w:rsidRPr="0032318C" w:rsidRDefault="00605307" w:rsidP="00056F37">
            <w:pPr>
              <w:spacing w:before="100" w:beforeAutospacing="1" w:after="100" w:afterAutospacing="1"/>
              <w:ind w:firstLine="0"/>
              <w:jc w:val="right"/>
              <w:rPr>
                <w:bCs/>
                <w:sz w:val="20"/>
              </w:rPr>
            </w:pPr>
            <w:r w:rsidRPr="0032318C">
              <w:rPr>
                <w:bCs/>
                <w:sz w:val="20"/>
              </w:rPr>
              <w:t xml:space="preserve">    26 </w:t>
            </w:r>
          </w:p>
        </w:tc>
        <w:tc>
          <w:tcPr>
            <w:tcW w:w="497" w:type="pct"/>
            <w:shd w:val="clear" w:color="auto" w:fill="auto"/>
            <w:hideMark/>
          </w:tcPr>
          <w:p w:rsidR="00605307" w:rsidRPr="0032318C" w:rsidRDefault="00605307" w:rsidP="00056F37">
            <w:pPr>
              <w:spacing w:before="100" w:beforeAutospacing="1" w:after="100" w:afterAutospacing="1"/>
              <w:ind w:firstLine="0"/>
              <w:jc w:val="right"/>
              <w:rPr>
                <w:bCs/>
                <w:sz w:val="20"/>
              </w:rPr>
            </w:pPr>
            <w:r w:rsidRPr="0032318C">
              <w:rPr>
                <w:bCs/>
                <w:sz w:val="20"/>
              </w:rPr>
              <w:t xml:space="preserve">        25 </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UPIH</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Cs/>
                <w:sz w:val="20"/>
              </w:rPr>
            </w:pPr>
            <w:r w:rsidRPr="0032318C">
              <w:rPr>
                <w:rFonts w:eastAsia="Times New Roman" w:cs="Arial"/>
                <w:bCs/>
                <w:sz w:val="20"/>
              </w:rPr>
              <w:t>MTUR</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123</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39,302.52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12</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 xml:space="preserve">  402,425.07 </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Cs/>
                <w:sz w:val="20"/>
              </w:rPr>
            </w:pPr>
            <w:r w:rsidRPr="0032318C">
              <w:rPr>
                <w:rFonts w:eastAsia="Times New Roman" w:cs="Arial"/>
                <w:bCs/>
                <w:sz w:val="20"/>
              </w:rPr>
              <w:t xml:space="preserve">   10.24 </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49</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0</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sz w:val="20"/>
              </w:rPr>
            </w:pPr>
            <w:r w:rsidRPr="0032318C">
              <w:rPr>
                <w:rFonts w:eastAsia="Times New Roman" w:cs="Arial"/>
                <w:sz w:val="20"/>
              </w:rPr>
              <w:t>51</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
                <w:sz w:val="20"/>
              </w:rPr>
            </w:pPr>
            <w:r w:rsidRPr="0032318C">
              <w:rPr>
                <w:rFonts w:eastAsia="Times New Roman" w:cs="Arial"/>
                <w:b/>
                <w:sz w:val="20"/>
              </w:rPr>
              <w:t>Total Veracruz</w:t>
            </w:r>
          </w:p>
        </w:tc>
        <w:tc>
          <w:tcPr>
            <w:tcW w:w="44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1,644</w:t>
            </w:r>
          </w:p>
        </w:tc>
        <w:tc>
          <w:tcPr>
            <w:tcW w:w="565"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sz w:val="20"/>
              </w:rPr>
            </w:pPr>
            <w:r w:rsidRPr="0032318C">
              <w:rPr>
                <w:rFonts w:eastAsia="Times New Roman" w:cs="Arial"/>
                <w:b/>
                <w:sz w:val="20"/>
              </w:rPr>
              <w:t xml:space="preserve">11,088.46 </w:t>
            </w:r>
          </w:p>
        </w:tc>
        <w:tc>
          <w:tcPr>
            <w:tcW w:w="45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438</w:t>
            </w:r>
          </w:p>
        </w:tc>
        <w:tc>
          <w:tcPr>
            <w:tcW w:w="694"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sz w:val="20"/>
              </w:rPr>
            </w:pPr>
            <w:r w:rsidRPr="0032318C">
              <w:rPr>
                <w:rFonts w:eastAsia="Times New Roman" w:cs="Arial"/>
                <w:b/>
                <w:sz w:val="20"/>
              </w:rPr>
              <w:t xml:space="preserve">    41,616.39 </w:t>
            </w:r>
          </w:p>
        </w:tc>
        <w:tc>
          <w:tcPr>
            <w:tcW w:w="469"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bCs/>
                <w:sz w:val="20"/>
              </w:rPr>
            </w:pPr>
            <w:r w:rsidRPr="0032318C">
              <w:rPr>
                <w:rFonts w:eastAsia="Times New Roman" w:cs="Arial"/>
                <w:b/>
                <w:bCs/>
                <w:sz w:val="20"/>
              </w:rPr>
              <w:t xml:space="preserve">     3.75 </w:t>
            </w:r>
          </w:p>
        </w:tc>
        <w:tc>
          <w:tcPr>
            <w:tcW w:w="546"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sz w:val="20"/>
              </w:rPr>
            </w:pPr>
            <w:r w:rsidRPr="0032318C">
              <w:rPr>
                <w:rFonts w:eastAsia="Times New Roman" w:cs="Arial"/>
                <w:b/>
                <w:sz w:val="20"/>
              </w:rPr>
              <w:t>49</w:t>
            </w:r>
          </w:p>
        </w:tc>
        <w:tc>
          <w:tcPr>
            <w:tcW w:w="488"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sz w:val="20"/>
              </w:rPr>
            </w:pPr>
            <w:r w:rsidRPr="0032318C">
              <w:rPr>
                <w:rFonts w:eastAsia="Times New Roman" w:cs="Arial"/>
                <w:b/>
                <w:sz w:val="20"/>
              </w:rPr>
              <w:t>19</w:t>
            </w:r>
          </w:p>
        </w:tc>
        <w:tc>
          <w:tcPr>
            <w:tcW w:w="497" w:type="pct"/>
            <w:shd w:val="clear" w:color="auto" w:fill="auto"/>
            <w:hideMark/>
          </w:tcPr>
          <w:p w:rsidR="00605307" w:rsidRPr="0032318C" w:rsidRDefault="00605307" w:rsidP="00056F37">
            <w:pPr>
              <w:spacing w:before="100" w:beforeAutospacing="1" w:after="100" w:afterAutospacing="1" w:line="240" w:lineRule="auto"/>
              <w:ind w:firstLine="0"/>
              <w:jc w:val="right"/>
              <w:rPr>
                <w:rFonts w:eastAsia="Times New Roman" w:cs="Arial"/>
                <w:b/>
                <w:sz w:val="20"/>
              </w:rPr>
            </w:pPr>
            <w:r w:rsidRPr="0032318C">
              <w:rPr>
                <w:rFonts w:eastAsia="Times New Roman" w:cs="Arial"/>
                <w:b/>
                <w:sz w:val="20"/>
              </w:rPr>
              <w:t>32</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UEAEE</w:t>
            </w:r>
          </w:p>
        </w:tc>
        <w:tc>
          <w:tcPr>
            <w:tcW w:w="444"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8,095</w:t>
            </w:r>
          </w:p>
        </w:tc>
        <w:tc>
          <w:tcPr>
            <w:tcW w:w="565"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6,440.27 </w:t>
            </w:r>
          </w:p>
        </w:tc>
        <w:tc>
          <w:tcPr>
            <w:tcW w:w="456"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3,131</w:t>
            </w:r>
          </w:p>
        </w:tc>
        <w:tc>
          <w:tcPr>
            <w:tcW w:w="694"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18,976.30 </w:t>
            </w:r>
          </w:p>
        </w:tc>
        <w:tc>
          <w:tcPr>
            <w:tcW w:w="469"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2.80 </w:t>
            </w:r>
          </w:p>
        </w:tc>
        <w:tc>
          <w:tcPr>
            <w:tcW w:w="546"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46</w:t>
            </w:r>
          </w:p>
        </w:tc>
        <w:tc>
          <w:tcPr>
            <w:tcW w:w="488"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19</w:t>
            </w:r>
          </w:p>
        </w:tc>
        <w:tc>
          <w:tcPr>
            <w:tcW w:w="497"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35</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sz w:val="20"/>
              </w:rPr>
            </w:pPr>
            <w:r w:rsidRPr="0032318C">
              <w:rPr>
                <w:rFonts w:eastAsia="Times New Roman" w:cs="Arial"/>
                <w:sz w:val="20"/>
              </w:rPr>
              <w:t>UPIH</w:t>
            </w:r>
          </w:p>
        </w:tc>
        <w:tc>
          <w:tcPr>
            <w:tcW w:w="444"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2,462</w:t>
            </w:r>
          </w:p>
        </w:tc>
        <w:tc>
          <w:tcPr>
            <w:tcW w:w="565"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6,710.68 </w:t>
            </w:r>
          </w:p>
        </w:tc>
        <w:tc>
          <w:tcPr>
            <w:tcW w:w="456"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976</w:t>
            </w:r>
          </w:p>
        </w:tc>
        <w:tc>
          <w:tcPr>
            <w:tcW w:w="694"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18,819.66 </w:t>
            </w:r>
          </w:p>
        </w:tc>
        <w:tc>
          <w:tcPr>
            <w:tcW w:w="469"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2.70 </w:t>
            </w:r>
          </w:p>
        </w:tc>
        <w:tc>
          <w:tcPr>
            <w:tcW w:w="546"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45</w:t>
            </w:r>
          </w:p>
        </w:tc>
        <w:tc>
          <w:tcPr>
            <w:tcW w:w="488"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15</w:t>
            </w:r>
          </w:p>
        </w:tc>
        <w:tc>
          <w:tcPr>
            <w:tcW w:w="497"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39</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Cs/>
                <w:sz w:val="20"/>
              </w:rPr>
            </w:pPr>
            <w:r w:rsidRPr="0032318C">
              <w:rPr>
                <w:rFonts w:eastAsia="Times New Roman" w:cs="Arial"/>
                <w:bCs/>
                <w:sz w:val="20"/>
              </w:rPr>
              <w:t>MTUR</w:t>
            </w:r>
          </w:p>
        </w:tc>
        <w:tc>
          <w:tcPr>
            <w:tcW w:w="444"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1,383</w:t>
            </w:r>
          </w:p>
        </w:tc>
        <w:tc>
          <w:tcPr>
            <w:tcW w:w="565"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7,717.32 </w:t>
            </w:r>
          </w:p>
        </w:tc>
        <w:tc>
          <w:tcPr>
            <w:tcW w:w="456"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468</w:t>
            </w:r>
          </w:p>
        </w:tc>
        <w:tc>
          <w:tcPr>
            <w:tcW w:w="694"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141,139.82 </w:t>
            </w:r>
          </w:p>
        </w:tc>
        <w:tc>
          <w:tcPr>
            <w:tcW w:w="469"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 xml:space="preserve">  5.23 </w:t>
            </w:r>
          </w:p>
        </w:tc>
        <w:tc>
          <w:tcPr>
            <w:tcW w:w="546"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49</w:t>
            </w:r>
          </w:p>
        </w:tc>
        <w:tc>
          <w:tcPr>
            <w:tcW w:w="488"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8</w:t>
            </w:r>
          </w:p>
        </w:tc>
        <w:tc>
          <w:tcPr>
            <w:tcW w:w="497" w:type="pct"/>
            <w:shd w:val="clear" w:color="auto" w:fill="auto"/>
            <w:hideMark/>
          </w:tcPr>
          <w:p w:rsidR="00605307" w:rsidRPr="0032318C" w:rsidRDefault="00605307" w:rsidP="00056F37">
            <w:pPr>
              <w:spacing w:before="100" w:beforeAutospacing="1" w:after="100" w:afterAutospacing="1"/>
              <w:ind w:firstLine="0"/>
              <w:jc w:val="right"/>
              <w:rPr>
                <w:sz w:val="20"/>
              </w:rPr>
            </w:pPr>
            <w:r w:rsidRPr="0032318C">
              <w:rPr>
                <w:sz w:val="20"/>
              </w:rPr>
              <w:t>43</w:t>
            </w:r>
          </w:p>
        </w:tc>
      </w:tr>
      <w:tr w:rsidR="00605307" w:rsidRPr="0032318C" w:rsidTr="008C7314">
        <w:trPr>
          <w:trHeight w:val="287"/>
        </w:trPr>
        <w:tc>
          <w:tcPr>
            <w:tcW w:w="841" w:type="pct"/>
            <w:shd w:val="clear" w:color="auto" w:fill="auto"/>
            <w:hideMark/>
          </w:tcPr>
          <w:p w:rsidR="00605307" w:rsidRPr="0032318C" w:rsidRDefault="00605307" w:rsidP="00056F37">
            <w:pPr>
              <w:spacing w:before="100" w:beforeAutospacing="1" w:after="100" w:afterAutospacing="1" w:line="240" w:lineRule="auto"/>
              <w:ind w:firstLine="0"/>
              <w:jc w:val="left"/>
              <w:rPr>
                <w:rFonts w:eastAsia="Times New Roman" w:cs="Arial"/>
                <w:b/>
                <w:sz w:val="20"/>
              </w:rPr>
            </w:pPr>
            <w:r w:rsidRPr="0032318C">
              <w:rPr>
                <w:rFonts w:eastAsia="Times New Roman" w:cs="Arial"/>
                <w:b/>
                <w:sz w:val="20"/>
              </w:rPr>
              <w:t>Total Acuífero</w:t>
            </w:r>
          </w:p>
        </w:tc>
        <w:tc>
          <w:tcPr>
            <w:tcW w:w="444"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11,940</w:t>
            </w:r>
          </w:p>
        </w:tc>
        <w:tc>
          <w:tcPr>
            <w:tcW w:w="565" w:type="pct"/>
            <w:shd w:val="clear" w:color="auto" w:fill="auto"/>
            <w:hideMark/>
          </w:tcPr>
          <w:p w:rsidR="00605307" w:rsidRPr="0032318C" w:rsidRDefault="00605307" w:rsidP="00056F37">
            <w:pPr>
              <w:spacing w:before="100" w:beforeAutospacing="1" w:after="100" w:afterAutospacing="1"/>
              <w:ind w:firstLine="0"/>
              <w:rPr>
                <w:b/>
                <w:bCs/>
                <w:sz w:val="20"/>
              </w:rPr>
            </w:pPr>
            <w:r w:rsidRPr="0032318C">
              <w:rPr>
                <w:b/>
                <w:bCs/>
                <w:sz w:val="20"/>
              </w:rPr>
              <w:t xml:space="preserve">10,289.43 </w:t>
            </w:r>
          </w:p>
        </w:tc>
        <w:tc>
          <w:tcPr>
            <w:tcW w:w="456"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4,575</w:t>
            </w:r>
          </w:p>
        </w:tc>
        <w:tc>
          <w:tcPr>
            <w:tcW w:w="694"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 xml:space="preserve">59,645.26 </w:t>
            </w:r>
          </w:p>
        </w:tc>
        <w:tc>
          <w:tcPr>
            <w:tcW w:w="469"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 xml:space="preserve">3.58 </w:t>
            </w:r>
          </w:p>
        </w:tc>
        <w:tc>
          <w:tcPr>
            <w:tcW w:w="546"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47</w:t>
            </w:r>
          </w:p>
        </w:tc>
        <w:tc>
          <w:tcPr>
            <w:tcW w:w="488"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14</w:t>
            </w:r>
          </w:p>
        </w:tc>
        <w:tc>
          <w:tcPr>
            <w:tcW w:w="497" w:type="pct"/>
            <w:shd w:val="clear" w:color="auto" w:fill="auto"/>
            <w:hideMark/>
          </w:tcPr>
          <w:p w:rsidR="00605307" w:rsidRPr="0032318C" w:rsidRDefault="00605307" w:rsidP="00056F37">
            <w:pPr>
              <w:spacing w:before="100" w:beforeAutospacing="1" w:after="100" w:afterAutospacing="1"/>
              <w:ind w:firstLine="0"/>
              <w:jc w:val="right"/>
              <w:rPr>
                <w:b/>
                <w:bCs/>
                <w:sz w:val="20"/>
              </w:rPr>
            </w:pPr>
            <w:r w:rsidRPr="0032318C">
              <w:rPr>
                <w:b/>
                <w:bCs/>
                <w:sz w:val="20"/>
              </w:rPr>
              <w:t>39</w:t>
            </w:r>
          </w:p>
        </w:tc>
      </w:tr>
    </w:tbl>
    <w:p w:rsidR="00605307" w:rsidRDefault="00605307" w:rsidP="00605307"/>
    <w:p w:rsidR="009C3924" w:rsidRPr="00605307" w:rsidRDefault="009C3924" w:rsidP="008011C2">
      <w:pPr>
        <w:outlineLvl w:val="0"/>
        <w:rPr>
          <w:b/>
        </w:rPr>
      </w:pPr>
      <w:r w:rsidRPr="00605307">
        <w:rPr>
          <w:b/>
        </w:rPr>
        <w:t xml:space="preserve">Programas </w:t>
      </w:r>
      <w:r>
        <w:rPr>
          <w:b/>
        </w:rPr>
        <w:t>Agua Potable, Alcantarillado y Saneamiento</w:t>
      </w:r>
    </w:p>
    <w:p w:rsidR="00605307" w:rsidRDefault="00605307" w:rsidP="00605307">
      <w:r>
        <w:t xml:space="preserve">Dentro del sector agua potable, los programas APAZU (Programa de Agua Potable, Alcantarillado y Saneamiento en Zonas Urbanas), PROSSAPYS (Programa de Agua Potable y Saneamiento en Comunidades Rurales) y el anteriormente denominado PRODDER (Programa de Asignación de Recursos Derivados del Pago de Derechos de Agua), han favorecido primordialmente a localidades urbanas con </w:t>
      </w:r>
      <w:r w:rsidR="008C7314">
        <w:t>O</w:t>
      </w:r>
      <w:r>
        <w:t xml:space="preserve">rganismos </w:t>
      </w:r>
      <w:r w:rsidR="008C7314">
        <w:t>O</w:t>
      </w:r>
      <w:r>
        <w:t>peradores con cierto nivel de autosuficiencia.  En la zona de estudio, uno de los retos radica en la situación de los organismos operadores, ya que las mayores localidades no superan los 30 mil habitantes y su nivel de organización y rentabilidad, no les ha permitido el desarrollo de infraestructura suficiente para el tratamiento de las aguas residuales, ni tampoco para mejorar las eficiencias física y comercial hasta estándares realmente rentables, con lo cual la importancia y atención otorgadas al agua, continúan siendo inferiores a la estatura que requieren para un manejo en condiciones de eficiencia congruentes con las necesidades de conservación e inversión, necesarias para mejorar los servicios y hacer de éstos un valor agregado para la economía de la sociedad y no un sobrecosto o un sistema que permanentemente requiere de recursos a fondo perdido.</w:t>
      </w:r>
    </w:p>
    <w:p w:rsidR="00605307" w:rsidRPr="002D17FA" w:rsidRDefault="00605307" w:rsidP="00605307">
      <w:r>
        <w:t>Ante una clara incongruencia entre los volúmenes que actualmente se aprovechan para el abastecimiento de las poblaciones y el Registro Público de Derechos de Agua (REPDA) en lo que respecta al uso público urbano, se concluye que los aprovechamientos para uso público urbano  en su mayoría no se encuentran regularizados, carecen probablemente de medidor y en caso de tenerlo, sus volúmenes se considera podrían superar el volumen concesionado en el REPDA.  Estas irregularidades representan en principio, una traba para la correcta aplicación del pago de tarifas a la Federación de acuerdo con la Ley Federal de Derechos, y en consecuencia, una dificultad para participar en los programas de apoyo de mayor impacto en los últimos años, como fue el PRODDER.</w:t>
      </w:r>
    </w:p>
    <w:p w:rsidR="00B5103E" w:rsidRDefault="00B5103E" w:rsidP="00B5103E">
      <w:pPr>
        <w:pStyle w:val="Ttulo2"/>
      </w:pPr>
      <w:bookmarkStart w:id="54" w:name="_Toc283886448"/>
      <w:r>
        <w:lastRenderedPageBreak/>
        <w:t>Climatología</w:t>
      </w:r>
      <w:bookmarkEnd w:id="54"/>
      <w:r>
        <w:t xml:space="preserve"> </w:t>
      </w:r>
    </w:p>
    <w:p w:rsidR="002C7DA3" w:rsidRDefault="00691AD9" w:rsidP="000574FF">
      <w:r>
        <w:t xml:space="preserve">El clima que impera es templado, </w:t>
      </w:r>
      <w:proofErr w:type="spellStart"/>
      <w:r>
        <w:t>subhúmedo</w:t>
      </w:r>
      <w:proofErr w:type="spellEnd"/>
      <w:r>
        <w:t xml:space="preserve"> con lluvias en el verano, aunque en su parte central, éste es </w:t>
      </w:r>
      <w:proofErr w:type="spellStart"/>
      <w:r>
        <w:t>semiseco</w:t>
      </w:r>
      <w:proofErr w:type="spellEnd"/>
      <w:r>
        <w:t xml:space="preserve">; dominan las temperaturas medias anuales de 14° C, mientras que su precipitación media anual </w:t>
      </w:r>
      <w:r w:rsidR="00F413F8">
        <w:t>rondan los 620-830</w:t>
      </w:r>
      <w:r>
        <w:t xml:space="preserve"> mm</w:t>
      </w:r>
    </w:p>
    <w:p w:rsidR="00691AD9" w:rsidRDefault="00691AD9" w:rsidP="00691AD9">
      <w:r>
        <w:t xml:space="preserve">Diseminadas en la zona se encuentran </w:t>
      </w:r>
      <w:r w:rsidRPr="00BE0B31">
        <w:t xml:space="preserve">46 </w:t>
      </w:r>
      <w:r>
        <w:t>estaciones climatológicas que, en su mayoría, se encuentran operando desde</w:t>
      </w:r>
      <w:r w:rsidRPr="00BE0B31">
        <w:t xml:space="preserve"> 196</w:t>
      </w:r>
      <w:r>
        <w:t>6. Así, en el periodo 1968-86, la altura de precipitación media anual fue de 590 mm, y varió de 400 a 1,700 en las porciones planas y las montañosas, respectivamente. A través del tiempo, en los registros conseguidos, es notoria la disminución de la lluvia en los últimos 30 años, causada, supuestamente, por la desforestación de las sierras adyacentes y los cambios meteorológicos integrales de plazo prolongado. Por su parte, la temporada de lluvias abarca los meses de abril a octubre, siendo agosto y septiembre los más lluviosos.</w:t>
      </w:r>
    </w:p>
    <w:p w:rsidR="00691AD9" w:rsidRDefault="00691AD9" w:rsidP="00BE5C38">
      <w:pPr>
        <w:pStyle w:val="figura1cap5"/>
      </w:pPr>
      <w:r w:rsidRPr="00691AD9">
        <w:t>Distribución de estaciones climatológicas en el acuífero HLOP</w:t>
      </w:r>
    </w:p>
    <w:p w:rsidR="00691AD9" w:rsidRDefault="008011C2" w:rsidP="00691AD9">
      <w:pPr>
        <w:jc w:val="center"/>
      </w:pPr>
      <w:r>
        <w:rPr>
          <w:noProof/>
          <w:lang w:eastAsia="es-MX"/>
        </w:rPr>
        <w:drawing>
          <wp:inline distT="0" distB="0" distL="0" distR="0">
            <wp:extent cx="6085209" cy="4001984"/>
            <wp:effectExtent l="19050" t="0" r="0" b="0"/>
            <wp:docPr id="19" name="Imagen 19" descr="Estaciones_HL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staciones_HLOP"/>
                    <pic:cNvPicPr>
                      <a:picLocks noChangeAspect="1" noChangeArrowheads="1"/>
                    </pic:cNvPicPr>
                  </pic:nvPicPr>
                  <pic:blipFill>
                    <a:blip r:embed="rId30" cstate="print"/>
                    <a:srcRect/>
                    <a:stretch>
                      <a:fillRect/>
                    </a:stretch>
                  </pic:blipFill>
                  <pic:spPr bwMode="auto">
                    <a:xfrm>
                      <a:off x="0" y="0"/>
                      <a:ext cx="6083465" cy="4000837"/>
                    </a:xfrm>
                    <a:prstGeom prst="rect">
                      <a:avLst/>
                    </a:prstGeom>
                    <a:noFill/>
                    <a:ln w="9525">
                      <a:noFill/>
                      <a:miter lim="800000"/>
                      <a:headEnd/>
                      <a:tailEnd/>
                    </a:ln>
                  </pic:spPr>
                </pic:pic>
              </a:graphicData>
            </a:graphic>
          </wp:inline>
        </w:drawing>
      </w:r>
    </w:p>
    <w:p w:rsidR="00691AD9" w:rsidRDefault="00691AD9" w:rsidP="00691AD9">
      <w:r>
        <w:t xml:space="preserve">En cuanto a la temperatura se refiere, presenta un valor medio de 14° C, con variaciones de 9 a 12° C durante el invierno, y 15 a 21 en el verano. Muy parecida a la incidencia de la temperatura, la evaporación potencial media anual en la cuenca oscila entre 800 y 1,900 mm: los valores mayores ocurren en las partes bajas y los menores, en las áreas montañosas. </w:t>
      </w:r>
    </w:p>
    <w:p w:rsidR="00691AD9" w:rsidRDefault="00691AD9" w:rsidP="00691AD9">
      <w:r>
        <w:lastRenderedPageBreak/>
        <w:t xml:space="preserve">Con escurrimiento superficial momentáneo y minúsculo, las formaciones geológicas de la cuenca exhiben elevada capacidad de infiltración, siendo las corrientes principales las siguientes: arroyo </w:t>
      </w:r>
      <w:proofErr w:type="spellStart"/>
      <w:r>
        <w:t>Xonecuila</w:t>
      </w:r>
      <w:proofErr w:type="spellEnd"/>
      <w:r>
        <w:t xml:space="preserve">, río Barranca La Malinche, y numerosos arroyos; todos ellos alimentan tanto superficial como </w:t>
      </w:r>
      <w:proofErr w:type="spellStart"/>
      <w:r>
        <w:t>subterrámente</w:t>
      </w:r>
      <w:proofErr w:type="spellEnd"/>
      <w:r>
        <w:t xml:space="preserve"> al lago de Totolcingo o El Carmen. Los cuerpos superficiales que sobresalen en la zona que nos ocupa son los lagos de Totolcingo (El Carmen) y </w:t>
      </w:r>
      <w:proofErr w:type="spellStart"/>
      <w:r>
        <w:t>Tepeyehualco</w:t>
      </w:r>
      <w:proofErr w:type="spellEnd"/>
      <w:r>
        <w:t xml:space="preserve"> (El Salado) –de grandes extensiones, que se llenan de agua en la época de lluvias y se reducen o desaparecen en la de estiaje- y los </w:t>
      </w:r>
      <w:proofErr w:type="spellStart"/>
      <w:r>
        <w:t>axalapascos</w:t>
      </w:r>
      <w:proofErr w:type="spellEnd"/>
      <w:r>
        <w:t xml:space="preserve">, entre los que destacan: </w:t>
      </w:r>
      <w:proofErr w:type="spellStart"/>
      <w:r>
        <w:t>Alchichica</w:t>
      </w:r>
      <w:proofErr w:type="spellEnd"/>
      <w:r>
        <w:t xml:space="preserve">, La Preciosa, </w:t>
      </w:r>
      <w:proofErr w:type="spellStart"/>
      <w:r>
        <w:t>Aljojuca</w:t>
      </w:r>
      <w:proofErr w:type="spellEnd"/>
      <w:r>
        <w:t xml:space="preserve">, </w:t>
      </w:r>
      <w:proofErr w:type="spellStart"/>
      <w:r>
        <w:t>Quecholac</w:t>
      </w:r>
      <w:proofErr w:type="spellEnd"/>
      <w:r>
        <w:t xml:space="preserve">, </w:t>
      </w:r>
      <w:proofErr w:type="spellStart"/>
      <w:r>
        <w:t>Tecuitlapa</w:t>
      </w:r>
      <w:proofErr w:type="spellEnd"/>
      <w:r>
        <w:t xml:space="preserve"> y Luis </w:t>
      </w:r>
      <w:proofErr w:type="spellStart"/>
      <w:r>
        <w:t>Atexcac</w:t>
      </w:r>
      <w:proofErr w:type="spellEnd"/>
      <w:r>
        <w:t>.</w:t>
      </w:r>
    </w:p>
    <w:p w:rsidR="00691AD9" w:rsidRDefault="00691AD9" w:rsidP="00691AD9">
      <w:r w:rsidRPr="00D76506">
        <w:t>La evaporación potencial media anual registrada en las estaciones climatológicas es de 800 a 1</w:t>
      </w:r>
      <w:r>
        <w:t>,</w:t>
      </w:r>
      <w:r w:rsidRPr="00D76506">
        <w:t>900 mm, con un valor medio de 1</w:t>
      </w:r>
      <w:r w:rsidR="00F413F8">
        <w:t>,</w:t>
      </w:r>
      <w:r w:rsidRPr="00D76506">
        <w:t xml:space="preserve">460 mm y variación estacional </w:t>
      </w:r>
      <w:r>
        <w:t>similar a la de la temperatura</w:t>
      </w:r>
      <w:r w:rsidRPr="00D76506">
        <w:t>. La evaporación potencial media mensual es mayor que la precipitación media respectiva en todos los meses, excepto en las áreas montañosas y en la porción veracruzana de la cuenca, donde la precipitación es mayor en los meses más lluviosos.</w:t>
      </w:r>
    </w:p>
    <w:p w:rsidR="00F413F8" w:rsidRPr="00F8320A" w:rsidRDefault="00F413F8" w:rsidP="00F413F8">
      <w:pPr>
        <w:pStyle w:val="figura1cap5"/>
        <w:ind w:left="0" w:firstLine="0"/>
      </w:pPr>
      <w:bookmarkStart w:id="55" w:name="_Toc256703578"/>
      <w:bookmarkStart w:id="56" w:name="_Ref259781223"/>
      <w:bookmarkStart w:id="57" w:name="_Toc259787183"/>
      <w:r w:rsidRPr="00F8320A">
        <w:t>Distribución de rangos de precipitación pluvial en la zona del acuífero</w:t>
      </w:r>
      <w:bookmarkEnd w:id="55"/>
      <w:bookmarkEnd w:id="56"/>
      <w:bookmarkEnd w:id="57"/>
    </w:p>
    <w:p w:rsidR="00F413F8" w:rsidRDefault="008011C2" w:rsidP="00F413F8">
      <w:pPr>
        <w:ind w:firstLine="0"/>
        <w:jc w:val="center"/>
      </w:pPr>
      <w:r>
        <w:rPr>
          <w:noProof/>
          <w:lang w:eastAsia="es-MX"/>
        </w:rPr>
        <w:drawing>
          <wp:inline distT="0" distB="0" distL="0" distR="0">
            <wp:extent cx="5425915" cy="4633967"/>
            <wp:effectExtent l="19050" t="0" r="3335" b="0"/>
            <wp:docPr id="20" name="Imagen 3" descr="Isoyetas67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soyetas67_2008"/>
                    <pic:cNvPicPr>
                      <a:picLocks noChangeAspect="1" noChangeArrowheads="1"/>
                    </pic:cNvPicPr>
                  </pic:nvPicPr>
                  <pic:blipFill>
                    <a:blip r:embed="rId31" cstate="print"/>
                    <a:srcRect/>
                    <a:stretch>
                      <a:fillRect/>
                    </a:stretch>
                  </pic:blipFill>
                  <pic:spPr bwMode="auto">
                    <a:xfrm>
                      <a:off x="0" y="0"/>
                      <a:ext cx="5430639" cy="4638002"/>
                    </a:xfrm>
                    <a:prstGeom prst="rect">
                      <a:avLst/>
                    </a:prstGeom>
                    <a:noFill/>
                    <a:ln w="9525">
                      <a:noFill/>
                      <a:miter lim="800000"/>
                      <a:headEnd/>
                      <a:tailEnd/>
                    </a:ln>
                  </pic:spPr>
                </pic:pic>
              </a:graphicData>
            </a:graphic>
          </wp:inline>
        </w:drawing>
      </w:r>
    </w:p>
    <w:p w:rsidR="003C3298" w:rsidRDefault="003C3298" w:rsidP="003C3298">
      <w:pPr>
        <w:ind w:firstLine="0"/>
        <w:jc w:val="left"/>
      </w:pPr>
    </w:p>
    <w:p w:rsidR="00F413F8" w:rsidRPr="00A34616" w:rsidRDefault="00F413F8" w:rsidP="00F413F8">
      <w:r w:rsidRPr="00A34616">
        <w:lastRenderedPageBreak/>
        <w:t xml:space="preserve">El régimen de precipitación para la región del acuífero Huamantla-Libres Oriental-Perote está regida por condiciones orográficas. Dado que la región se encuentra enclavada dentro de un relieve que va desde amplias planicies ubicadas principalmente entre las cabeceras municipales de Libres, Oriental y Perote, hasta estructuras de altitud considerable como el volcán La Malinche, Pico de Orizaba y Cofre de Perote, ubicadas en la porción suroeste, sureste y noreste, respectivamente del acuífero en cuestión. </w:t>
      </w:r>
    </w:p>
    <w:p w:rsidR="00F413F8" w:rsidRPr="00A34616" w:rsidRDefault="00F413F8" w:rsidP="00F413F8">
      <w:r w:rsidRPr="00A34616">
        <w:t xml:space="preserve">En el extremo poniente del acuífero Huamantla se localiza el vértice más occidental del área de estudio, el cual corresponde al volcán La Malinche, presentándose un rango de precipitación pluvial anual de entre 720 a 980 mm. Bajando de altitud rumbo a la ciudad de Huamantla, se presentan rangos de entre 560 a 620 mm de lluvia, siendo la precipitación media ponderada para el acuífero de Huamantla de 638 mm. </w:t>
      </w:r>
    </w:p>
    <w:p w:rsidR="00F413F8" w:rsidRPr="00A34616" w:rsidRDefault="00F413F8" w:rsidP="00F413F8">
      <w:r w:rsidRPr="00A34616">
        <w:t>Dentro de la poligonal del acuífero Libres-Oriental las precipitaciones medias en el periodo 1967-2008, van de 400 mm en la porción del valle que limita con el acuífero Perote-</w:t>
      </w:r>
      <w:r w:rsidR="00106565">
        <w:t>Zalayeta</w:t>
      </w:r>
      <w:r w:rsidRPr="00A34616">
        <w:t xml:space="preserve">, hasta los 1980 mm en la porción más extrema del este del acuífero, siendo la media ponderada de 623 mm para todo el acuífero. </w:t>
      </w:r>
    </w:p>
    <w:p w:rsidR="00F413F8" w:rsidRPr="00A34616" w:rsidRDefault="00F413F8" w:rsidP="00F413F8">
      <w:r w:rsidRPr="00A34616">
        <w:t xml:space="preserve">Para el acuífero de Perote – </w:t>
      </w:r>
      <w:r w:rsidR="00106565">
        <w:t>Zalayeta</w:t>
      </w:r>
      <w:r w:rsidRPr="00A34616">
        <w:t xml:space="preserve"> las precipitaciones medias anuales en el periodo 1967 – 2008 varían de 400 mm en el valle colindante con el acuífero Libres –Oriental, hasta 2300 mm al norte de </w:t>
      </w:r>
      <w:proofErr w:type="spellStart"/>
      <w:r w:rsidRPr="00A34616">
        <w:t>Jalacingo</w:t>
      </w:r>
      <w:proofErr w:type="spellEnd"/>
      <w:r w:rsidRPr="00A34616">
        <w:t>, siendo la media ponderada de 833 mm para este acuífero.</w:t>
      </w:r>
    </w:p>
    <w:p w:rsidR="00F413F8" w:rsidRDefault="00F413F8" w:rsidP="00F413F8">
      <w:r>
        <w:t xml:space="preserve">A la par de lo anterior, se analizó la </w:t>
      </w:r>
      <w:r w:rsidRPr="00FD1F0A">
        <w:t xml:space="preserve">precipitación </w:t>
      </w:r>
      <w:r>
        <w:t xml:space="preserve">a partir de </w:t>
      </w:r>
      <w:r w:rsidRPr="00FD1F0A">
        <w:t xml:space="preserve">recopilar la información de 43 estaciones climatológicas ubicadas dentro de los límites y periferia de la zona de estudio,  se seleccionó la red con mayor período de registro y mayor número de registros completos, pues hay estaciones con registros desde cuatro años y una gran cantidad con registros entre 10 y 15 años, también  se presenta el caso en donde el registro es teóricamente amplio pero tiene años intermedios sin información y/o los años incompletos, sobre todo en los meses de mayor precipitación, siendo estas algunas de las razones por las que no fueron seleccionadas. Una vez depurada la red, se seleccionaron 27 estaciones con amplio período y menor registros faltantes, 17 de ellas localizadas en el estado de Puebla, 5 en el estado de Tlaxcala y 5 en el estado de Veracruz. </w:t>
      </w:r>
    </w:p>
    <w:p w:rsidR="00F413F8" w:rsidRPr="00571AC1" w:rsidRDefault="00F413F8" w:rsidP="00F413F8">
      <w:r w:rsidRPr="00571AC1">
        <w:t xml:space="preserve">La precipitación media ponderada por acuífero varía de 624.9 mm, en el acuífero Libres-Oriental a 778.4 mm </w:t>
      </w:r>
      <w:r>
        <w:t>en el acuífero Perote-Zalayeta (</w:t>
      </w:r>
      <w:r w:rsidR="00BE2961">
        <w:fldChar w:fldCharType="begin"/>
      </w:r>
      <w:r>
        <w:instrText xml:space="preserve"> REF _Ref254083738 \r \h </w:instrText>
      </w:r>
      <w:r w:rsidR="00BE2961">
        <w:fldChar w:fldCharType="separate"/>
      </w:r>
      <w:r w:rsidR="001C36B4">
        <w:t>Tabla 5.13</w:t>
      </w:r>
      <w:r w:rsidR="00BE2961">
        <w:fldChar w:fldCharType="end"/>
      </w:r>
      <w:r>
        <w:t>).</w:t>
      </w:r>
    </w:p>
    <w:p w:rsidR="00F413F8" w:rsidRPr="00571AC1" w:rsidRDefault="00F413F8" w:rsidP="00F413F8">
      <w:pPr>
        <w:pStyle w:val="Tabla1cap5"/>
      </w:pPr>
      <w:bookmarkStart w:id="58" w:name="_Ref254083738"/>
      <w:bookmarkStart w:id="59" w:name="_Toc259787148"/>
      <w:r w:rsidRPr="00571AC1">
        <w:t>Precipitación media ponderada</w:t>
      </w:r>
      <w:bookmarkEnd w:id="58"/>
      <w:bookmarkEnd w:id="59"/>
    </w:p>
    <w:tbl>
      <w:tblPr>
        <w:tblW w:w="9996" w:type="dxa"/>
        <w:tblBorders>
          <w:top w:val="single" w:sz="12" w:space="0" w:color="008000"/>
          <w:bottom w:val="single" w:sz="12" w:space="0" w:color="008000"/>
        </w:tblBorders>
        <w:tblLook w:val="04A0"/>
      </w:tblPr>
      <w:tblGrid>
        <w:gridCol w:w="1668"/>
        <w:gridCol w:w="607"/>
        <w:gridCol w:w="607"/>
        <w:gridCol w:w="625"/>
        <w:gridCol w:w="607"/>
        <w:gridCol w:w="610"/>
        <w:gridCol w:w="718"/>
        <w:gridCol w:w="607"/>
        <w:gridCol w:w="607"/>
        <w:gridCol w:w="718"/>
        <w:gridCol w:w="607"/>
        <w:gridCol w:w="607"/>
        <w:gridCol w:w="607"/>
        <w:gridCol w:w="801"/>
      </w:tblGrid>
      <w:tr w:rsidR="00F413F8" w:rsidRPr="00422358" w:rsidTr="00CA2E44">
        <w:trPr>
          <w:trHeight w:val="20"/>
        </w:trPr>
        <w:tc>
          <w:tcPr>
            <w:tcW w:w="1668"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lef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Acuífero</w:t>
            </w:r>
          </w:p>
        </w:tc>
        <w:tc>
          <w:tcPr>
            <w:tcW w:w="607"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Ene</w:t>
            </w:r>
          </w:p>
        </w:tc>
        <w:tc>
          <w:tcPr>
            <w:tcW w:w="607"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Feb</w:t>
            </w:r>
            <w:proofErr w:type="spellEnd"/>
          </w:p>
        </w:tc>
        <w:tc>
          <w:tcPr>
            <w:tcW w:w="625"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Mar</w:t>
            </w:r>
          </w:p>
        </w:tc>
        <w:tc>
          <w:tcPr>
            <w:tcW w:w="607"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Abr</w:t>
            </w:r>
            <w:proofErr w:type="spellEnd"/>
          </w:p>
        </w:tc>
        <w:tc>
          <w:tcPr>
            <w:tcW w:w="610"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May</w:t>
            </w:r>
            <w:proofErr w:type="spellEnd"/>
          </w:p>
        </w:tc>
        <w:tc>
          <w:tcPr>
            <w:tcW w:w="718"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Jun</w:t>
            </w:r>
            <w:proofErr w:type="spellEnd"/>
          </w:p>
        </w:tc>
        <w:tc>
          <w:tcPr>
            <w:tcW w:w="607"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Jul</w:t>
            </w:r>
            <w:proofErr w:type="spellEnd"/>
          </w:p>
        </w:tc>
        <w:tc>
          <w:tcPr>
            <w:tcW w:w="607"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Ago</w:t>
            </w:r>
            <w:proofErr w:type="spellEnd"/>
          </w:p>
        </w:tc>
        <w:tc>
          <w:tcPr>
            <w:tcW w:w="718"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Sep</w:t>
            </w:r>
            <w:proofErr w:type="spellEnd"/>
          </w:p>
        </w:tc>
        <w:tc>
          <w:tcPr>
            <w:tcW w:w="607" w:type="dxa"/>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Oct</w:t>
            </w:r>
            <w:proofErr w:type="spellEnd"/>
          </w:p>
        </w:tc>
        <w:tc>
          <w:tcPr>
            <w:tcW w:w="0" w:type="auto"/>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Nov</w:t>
            </w:r>
            <w:proofErr w:type="spellEnd"/>
          </w:p>
        </w:tc>
        <w:tc>
          <w:tcPr>
            <w:tcW w:w="0" w:type="auto"/>
            <w:tcBorders>
              <w:bottom w:val="single" w:sz="6" w:space="0" w:color="008000"/>
            </w:tcBorders>
            <w:shd w:val="clear" w:color="auto" w:fill="auto"/>
            <w:noWrap/>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proofErr w:type="spellStart"/>
            <w:r w:rsidRPr="00422358">
              <w:rPr>
                <w:rFonts w:ascii="Calibri" w:eastAsia="Times New Roman" w:hAnsi="Calibri" w:cs="Times New Roman"/>
                <w:color w:val="000000"/>
                <w:sz w:val="18"/>
                <w:szCs w:val="18"/>
                <w:lang w:eastAsia="es-MX"/>
              </w:rPr>
              <w:t>Dic</w:t>
            </w:r>
            <w:proofErr w:type="spellEnd"/>
          </w:p>
        </w:tc>
        <w:tc>
          <w:tcPr>
            <w:tcW w:w="801" w:type="dxa"/>
            <w:tcBorders>
              <w:bottom w:val="single" w:sz="6" w:space="0" w:color="008000"/>
            </w:tcBorders>
            <w:shd w:val="clear" w:color="auto" w:fill="auto"/>
            <w:hideMark/>
          </w:tcPr>
          <w:p w:rsidR="00F413F8" w:rsidRPr="00422358" w:rsidRDefault="00F413F8" w:rsidP="00CA2E44">
            <w:pPr>
              <w:spacing w:before="20" w:after="20" w:line="240" w:lineRule="auto"/>
              <w:ind w:firstLine="0"/>
              <w:jc w:val="center"/>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Anual</w:t>
            </w:r>
          </w:p>
        </w:tc>
      </w:tr>
      <w:tr w:rsidR="00F413F8" w:rsidRPr="00422358" w:rsidTr="00CA2E44">
        <w:trPr>
          <w:trHeight w:val="20"/>
        </w:trPr>
        <w:tc>
          <w:tcPr>
            <w:tcW w:w="1668" w:type="dxa"/>
            <w:shd w:val="clear" w:color="auto" w:fill="auto"/>
            <w:noWrap/>
            <w:hideMark/>
          </w:tcPr>
          <w:p w:rsidR="00F413F8" w:rsidRPr="00422358" w:rsidRDefault="00F413F8" w:rsidP="00CA2E44">
            <w:pPr>
              <w:spacing w:before="20" w:after="20" w:line="240" w:lineRule="auto"/>
              <w:ind w:firstLine="0"/>
              <w:jc w:val="lef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Libres-Oriental</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11.1</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10.9</w:t>
            </w:r>
          </w:p>
        </w:tc>
        <w:tc>
          <w:tcPr>
            <w:tcW w:w="625"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16.8</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40.9</w:t>
            </w:r>
          </w:p>
        </w:tc>
        <w:tc>
          <w:tcPr>
            <w:tcW w:w="610"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71.6</w:t>
            </w:r>
          </w:p>
        </w:tc>
        <w:tc>
          <w:tcPr>
            <w:tcW w:w="718"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112.4</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93.0</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92.8</w:t>
            </w:r>
          </w:p>
        </w:tc>
        <w:tc>
          <w:tcPr>
            <w:tcW w:w="718"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101.4</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50.1</w:t>
            </w:r>
          </w:p>
        </w:tc>
        <w:tc>
          <w:tcPr>
            <w:tcW w:w="0" w:type="auto"/>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15.0</w:t>
            </w:r>
          </w:p>
        </w:tc>
        <w:tc>
          <w:tcPr>
            <w:tcW w:w="0" w:type="auto"/>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8.8</w:t>
            </w:r>
          </w:p>
        </w:tc>
        <w:tc>
          <w:tcPr>
            <w:tcW w:w="801"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b/>
                <w:bCs/>
                <w:color w:val="000000"/>
                <w:sz w:val="18"/>
                <w:szCs w:val="18"/>
                <w:lang w:eastAsia="es-MX"/>
              </w:rPr>
            </w:pPr>
            <w:r w:rsidRPr="00422358">
              <w:rPr>
                <w:rFonts w:ascii="Calibri" w:eastAsia="Times New Roman" w:hAnsi="Calibri" w:cs="Times New Roman"/>
                <w:b/>
                <w:bCs/>
                <w:color w:val="000000"/>
                <w:sz w:val="18"/>
                <w:szCs w:val="18"/>
                <w:lang w:eastAsia="es-MX"/>
              </w:rPr>
              <w:t>624.9</w:t>
            </w:r>
          </w:p>
        </w:tc>
      </w:tr>
      <w:tr w:rsidR="00F413F8" w:rsidRPr="00422358" w:rsidTr="00CA2E44">
        <w:trPr>
          <w:trHeight w:val="20"/>
        </w:trPr>
        <w:tc>
          <w:tcPr>
            <w:tcW w:w="1668" w:type="dxa"/>
            <w:shd w:val="clear" w:color="auto" w:fill="auto"/>
            <w:noWrap/>
            <w:hideMark/>
          </w:tcPr>
          <w:p w:rsidR="00F413F8" w:rsidRPr="00422358" w:rsidRDefault="00F413F8" w:rsidP="00CA2E44">
            <w:pPr>
              <w:spacing w:before="20" w:after="20" w:line="240" w:lineRule="auto"/>
              <w:ind w:firstLine="0"/>
              <w:jc w:val="lef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Huamantla</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8.8</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9.4</w:t>
            </w:r>
          </w:p>
        </w:tc>
        <w:tc>
          <w:tcPr>
            <w:tcW w:w="625"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17.1</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45.9</w:t>
            </w:r>
          </w:p>
        </w:tc>
        <w:tc>
          <w:tcPr>
            <w:tcW w:w="610"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82.8</w:t>
            </w:r>
          </w:p>
        </w:tc>
        <w:tc>
          <w:tcPr>
            <w:tcW w:w="718"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120.4</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92.3</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96.8</w:t>
            </w:r>
          </w:p>
        </w:tc>
        <w:tc>
          <w:tcPr>
            <w:tcW w:w="718"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89.3</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48.9</w:t>
            </w:r>
          </w:p>
        </w:tc>
        <w:tc>
          <w:tcPr>
            <w:tcW w:w="0" w:type="auto"/>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13.1</w:t>
            </w:r>
          </w:p>
        </w:tc>
        <w:tc>
          <w:tcPr>
            <w:tcW w:w="0" w:type="auto"/>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6.6</w:t>
            </w:r>
          </w:p>
        </w:tc>
        <w:tc>
          <w:tcPr>
            <w:tcW w:w="801"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b/>
                <w:bCs/>
                <w:color w:val="000000"/>
                <w:sz w:val="18"/>
                <w:szCs w:val="18"/>
                <w:lang w:eastAsia="es-MX"/>
              </w:rPr>
            </w:pPr>
            <w:r w:rsidRPr="00422358">
              <w:rPr>
                <w:rFonts w:ascii="Calibri" w:eastAsia="Times New Roman" w:hAnsi="Calibri" w:cs="Times New Roman"/>
                <w:b/>
                <w:bCs/>
                <w:color w:val="000000"/>
                <w:sz w:val="18"/>
                <w:szCs w:val="18"/>
                <w:lang w:eastAsia="es-MX"/>
              </w:rPr>
              <w:t>631.3</w:t>
            </w:r>
          </w:p>
        </w:tc>
      </w:tr>
      <w:tr w:rsidR="00F413F8" w:rsidRPr="00422358" w:rsidTr="00CA2E44">
        <w:trPr>
          <w:trHeight w:val="20"/>
        </w:trPr>
        <w:tc>
          <w:tcPr>
            <w:tcW w:w="1668" w:type="dxa"/>
            <w:shd w:val="clear" w:color="auto" w:fill="auto"/>
            <w:noWrap/>
            <w:hideMark/>
          </w:tcPr>
          <w:p w:rsidR="00F413F8" w:rsidRPr="00422358" w:rsidRDefault="00F413F8" w:rsidP="00CA2E44">
            <w:pPr>
              <w:spacing w:before="20" w:after="20" w:line="240" w:lineRule="auto"/>
              <w:ind w:firstLine="0"/>
              <w:jc w:val="lef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Perote-Zalayeta</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20.8</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21.5</w:t>
            </w:r>
          </w:p>
        </w:tc>
        <w:tc>
          <w:tcPr>
            <w:tcW w:w="625"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19.7</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33.7</w:t>
            </w:r>
          </w:p>
        </w:tc>
        <w:tc>
          <w:tcPr>
            <w:tcW w:w="610"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49.4</w:t>
            </w:r>
          </w:p>
        </w:tc>
        <w:tc>
          <w:tcPr>
            <w:tcW w:w="718"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117.2</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92.6</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99.5</w:t>
            </w:r>
          </w:p>
        </w:tc>
        <w:tc>
          <w:tcPr>
            <w:tcW w:w="718"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157.3</w:t>
            </w:r>
          </w:p>
        </w:tc>
        <w:tc>
          <w:tcPr>
            <w:tcW w:w="607"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99.3</w:t>
            </w:r>
          </w:p>
        </w:tc>
        <w:tc>
          <w:tcPr>
            <w:tcW w:w="0" w:type="auto"/>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43.2</w:t>
            </w:r>
          </w:p>
        </w:tc>
        <w:tc>
          <w:tcPr>
            <w:tcW w:w="0" w:type="auto"/>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color w:val="000000"/>
                <w:sz w:val="18"/>
                <w:szCs w:val="18"/>
                <w:lang w:eastAsia="es-MX"/>
              </w:rPr>
            </w:pPr>
            <w:r w:rsidRPr="00422358">
              <w:rPr>
                <w:rFonts w:ascii="Calibri" w:eastAsia="Times New Roman" w:hAnsi="Calibri" w:cs="Times New Roman"/>
                <w:color w:val="000000"/>
                <w:sz w:val="18"/>
                <w:szCs w:val="18"/>
                <w:lang w:eastAsia="es-MX"/>
              </w:rPr>
              <w:t>24.2</w:t>
            </w:r>
          </w:p>
        </w:tc>
        <w:tc>
          <w:tcPr>
            <w:tcW w:w="801" w:type="dxa"/>
            <w:shd w:val="clear" w:color="auto" w:fill="auto"/>
            <w:noWrap/>
            <w:hideMark/>
          </w:tcPr>
          <w:p w:rsidR="00F413F8" w:rsidRPr="00422358" w:rsidRDefault="00F413F8" w:rsidP="00CA2E44">
            <w:pPr>
              <w:spacing w:before="20" w:after="20" w:line="240" w:lineRule="auto"/>
              <w:ind w:firstLine="0"/>
              <w:jc w:val="right"/>
              <w:rPr>
                <w:rFonts w:ascii="Calibri" w:eastAsia="Times New Roman" w:hAnsi="Calibri" w:cs="Times New Roman"/>
                <w:b/>
                <w:bCs/>
                <w:color w:val="000000"/>
                <w:sz w:val="18"/>
                <w:szCs w:val="18"/>
                <w:lang w:eastAsia="es-MX"/>
              </w:rPr>
            </w:pPr>
            <w:r w:rsidRPr="00422358">
              <w:rPr>
                <w:rFonts w:ascii="Calibri" w:eastAsia="Times New Roman" w:hAnsi="Calibri" w:cs="Times New Roman"/>
                <w:b/>
                <w:bCs/>
                <w:color w:val="000000"/>
                <w:sz w:val="18"/>
                <w:szCs w:val="18"/>
                <w:lang w:eastAsia="es-MX"/>
              </w:rPr>
              <w:t>778.4</w:t>
            </w:r>
          </w:p>
        </w:tc>
      </w:tr>
    </w:tbl>
    <w:p w:rsidR="00F413F8" w:rsidRDefault="00F413F8" w:rsidP="00F413F8">
      <w:pPr>
        <w:rPr>
          <w:sz w:val="18"/>
          <w:szCs w:val="18"/>
        </w:rPr>
      </w:pPr>
      <w:r w:rsidRPr="00F413F8">
        <w:rPr>
          <w:sz w:val="18"/>
          <w:szCs w:val="18"/>
        </w:rPr>
        <w:t xml:space="preserve">Fuente: Elaboración propia IGH </w:t>
      </w:r>
      <w:r w:rsidR="003C7F1A">
        <w:rPr>
          <w:sz w:val="18"/>
          <w:szCs w:val="18"/>
        </w:rPr>
        <w:t xml:space="preserve"> </w:t>
      </w:r>
      <w:r w:rsidRPr="00F413F8">
        <w:rPr>
          <w:sz w:val="18"/>
          <w:szCs w:val="18"/>
        </w:rPr>
        <w:t>SC</w:t>
      </w:r>
    </w:p>
    <w:p w:rsidR="00F413F8" w:rsidRPr="00F413F8" w:rsidRDefault="00F413F8" w:rsidP="00056F37"/>
    <w:p w:rsidR="003C3298" w:rsidRDefault="003C3298">
      <w:pPr>
        <w:spacing w:before="0" w:after="0" w:line="240" w:lineRule="auto"/>
        <w:ind w:firstLine="0"/>
        <w:jc w:val="left"/>
        <w:rPr>
          <w:i/>
          <w:color w:val="214F75"/>
        </w:rPr>
      </w:pPr>
      <w:bookmarkStart w:id="60" w:name="_Toc259787187"/>
      <w:r>
        <w:br w:type="page"/>
      </w:r>
    </w:p>
    <w:p w:rsidR="00F413F8" w:rsidRDefault="00F413F8" w:rsidP="00F413F8">
      <w:pPr>
        <w:pStyle w:val="figura1cap5"/>
        <w:ind w:left="0" w:firstLine="0"/>
      </w:pPr>
      <w:r>
        <w:lastRenderedPageBreak/>
        <w:t>Distribución de rangos de precipitación pluvial en la zona del acuífero</w:t>
      </w:r>
      <w:bookmarkEnd w:id="60"/>
    </w:p>
    <w:p w:rsidR="00F413F8" w:rsidRDefault="008011C2" w:rsidP="00F413F8">
      <w:pPr>
        <w:ind w:firstLine="0"/>
        <w:jc w:val="center"/>
      </w:pPr>
      <w:r>
        <w:rPr>
          <w:noProof/>
          <w:lang w:eastAsia="es-MX"/>
        </w:rPr>
        <w:drawing>
          <wp:inline distT="0" distB="0" distL="0" distR="0">
            <wp:extent cx="4371975" cy="3295650"/>
            <wp:effectExtent l="19050" t="0" r="952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l="8945" t="2570" b="1622"/>
                    <a:stretch>
                      <a:fillRect/>
                    </a:stretch>
                  </pic:blipFill>
                  <pic:spPr bwMode="auto">
                    <a:xfrm>
                      <a:off x="0" y="0"/>
                      <a:ext cx="4371975" cy="3295650"/>
                    </a:xfrm>
                    <a:prstGeom prst="rect">
                      <a:avLst/>
                    </a:prstGeom>
                    <a:noFill/>
                    <a:ln w="9525">
                      <a:noFill/>
                      <a:miter lim="800000"/>
                      <a:headEnd/>
                      <a:tailEnd/>
                    </a:ln>
                  </pic:spPr>
                </pic:pic>
              </a:graphicData>
            </a:graphic>
          </wp:inline>
        </w:drawing>
      </w:r>
      <w:r>
        <w:rPr>
          <w:noProof/>
          <w:lang w:eastAsia="es-MX"/>
        </w:rPr>
        <w:drawing>
          <wp:inline distT="0" distB="0" distL="0" distR="0">
            <wp:extent cx="971550" cy="1495425"/>
            <wp:effectExtent l="19050" t="0" r="0" b="0"/>
            <wp:docPr id="22" name="Imagen 22" descr="Precipitacion_Ley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ecipitacion_Leyenda"/>
                    <pic:cNvPicPr>
                      <a:picLocks noChangeAspect="1" noChangeArrowheads="1"/>
                    </pic:cNvPicPr>
                  </pic:nvPicPr>
                  <pic:blipFill>
                    <a:blip r:embed="rId33" cstate="print"/>
                    <a:srcRect/>
                    <a:stretch>
                      <a:fillRect/>
                    </a:stretch>
                  </pic:blipFill>
                  <pic:spPr bwMode="auto">
                    <a:xfrm>
                      <a:off x="0" y="0"/>
                      <a:ext cx="971550" cy="1495425"/>
                    </a:xfrm>
                    <a:prstGeom prst="rect">
                      <a:avLst/>
                    </a:prstGeom>
                    <a:noFill/>
                    <a:ln w="9525">
                      <a:noFill/>
                      <a:miter lim="800000"/>
                      <a:headEnd/>
                      <a:tailEnd/>
                    </a:ln>
                  </pic:spPr>
                </pic:pic>
              </a:graphicData>
            </a:graphic>
          </wp:inline>
        </w:drawing>
      </w:r>
    </w:p>
    <w:p w:rsidR="00A12466" w:rsidRDefault="00A12466" w:rsidP="00F413F8">
      <w:pPr>
        <w:ind w:firstLine="0"/>
        <w:jc w:val="center"/>
      </w:pPr>
    </w:p>
    <w:p w:rsidR="00F413F8" w:rsidRPr="00571AC1" w:rsidRDefault="00F413F8" w:rsidP="00F413F8">
      <w:pPr>
        <w:pStyle w:val="Grafica1cap5"/>
      </w:pPr>
      <w:r w:rsidRPr="00571AC1">
        <w:t xml:space="preserve">Precipitación media de los  acuíferos </w:t>
      </w:r>
      <w:r>
        <w:t>delibres-</w:t>
      </w:r>
      <w:r w:rsidRPr="00571AC1">
        <w:t xml:space="preserve">Oriental, Huamantla y </w:t>
      </w:r>
      <w:r w:rsidRPr="00571AC1">
        <w:rPr>
          <w:rFonts w:eastAsia="Calibri"/>
          <w:color w:val="17365D"/>
          <w:szCs w:val="22"/>
        </w:rPr>
        <w:t>Perote –Zalayeta</w:t>
      </w:r>
    </w:p>
    <w:p w:rsidR="00F413F8" w:rsidRDefault="008011C2" w:rsidP="00F413F8">
      <w:pPr>
        <w:ind w:firstLine="0"/>
        <w:jc w:val="center"/>
        <w:rPr>
          <w:noProof/>
          <w:lang w:eastAsia="es-MX"/>
        </w:rPr>
      </w:pPr>
      <w:r>
        <w:rPr>
          <w:noProof/>
          <w:lang w:eastAsia="es-MX"/>
        </w:rPr>
        <w:drawing>
          <wp:inline distT="0" distB="0" distL="0" distR="0">
            <wp:extent cx="4619625" cy="2790825"/>
            <wp:effectExtent l="1905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4619625" cy="2790825"/>
                    </a:xfrm>
                    <a:prstGeom prst="rect">
                      <a:avLst/>
                    </a:prstGeom>
                    <a:noFill/>
                    <a:ln w="9525">
                      <a:noFill/>
                      <a:miter lim="800000"/>
                      <a:headEnd/>
                      <a:tailEnd/>
                    </a:ln>
                  </pic:spPr>
                </pic:pic>
              </a:graphicData>
            </a:graphic>
          </wp:inline>
        </w:drawing>
      </w:r>
    </w:p>
    <w:p w:rsidR="00F413F8" w:rsidRPr="005B3115" w:rsidRDefault="00F413F8" w:rsidP="00F413F8">
      <w:pPr>
        <w:rPr>
          <w:rFonts w:eastAsia="Calibri"/>
          <w:szCs w:val="22"/>
        </w:rPr>
      </w:pPr>
      <w:r w:rsidRPr="005B3115">
        <w:rPr>
          <w:rFonts w:eastAsia="Calibri"/>
          <w:szCs w:val="22"/>
        </w:rPr>
        <w:t>El acuífero de Huamantla, presenta una precipitación media anual ponderada de 631 mm, con variación  que van de 414 mm a 815 mm,  representa el 96.6% de la media de los acuíferos de Libres Oriental,  Huamantla y Perote –Zalayeta.   (</w:t>
      </w:r>
      <w:fldSimple w:instr=" REF _Ref254353015 \r \h  \* MERGEFORMAT ">
        <w:r w:rsidR="001C36B4" w:rsidRPr="001C36B4">
          <w:rPr>
            <w:rFonts w:eastAsia="Calibri"/>
            <w:szCs w:val="22"/>
          </w:rPr>
          <w:t>Gráfica 5.10</w:t>
        </w:r>
      </w:fldSimple>
      <w:r w:rsidRPr="005B3115">
        <w:rPr>
          <w:rFonts w:eastAsia="Calibri"/>
          <w:szCs w:val="22"/>
        </w:rPr>
        <w:t>)</w:t>
      </w:r>
    </w:p>
    <w:p w:rsidR="00F413F8" w:rsidRPr="005B3115" w:rsidRDefault="00F413F8" w:rsidP="00F413F8">
      <w:pPr>
        <w:rPr>
          <w:rFonts w:eastAsia="Calibri"/>
          <w:szCs w:val="22"/>
        </w:rPr>
      </w:pPr>
      <w:r w:rsidRPr="005B3115">
        <w:rPr>
          <w:rFonts w:eastAsia="Calibri"/>
          <w:szCs w:val="22"/>
        </w:rPr>
        <w:lastRenderedPageBreak/>
        <w:t>En cuanto al comportamiento estacional, la precipitación ponderada en el acuífero de Huamantla presenta la concentración de la precipitación en los meses de mayo a septiembre, acumulando el 76% de la precipitación anual. El mes más seco es diciembre con el 1% de la precipitación, seguido del mes de enero con el 1.4 %. (</w:t>
      </w:r>
      <w:fldSimple w:instr=" REF _Ref254353032 \r \h  \* MERGEFORMAT ">
        <w:r w:rsidR="001C36B4" w:rsidRPr="001C36B4">
          <w:rPr>
            <w:rFonts w:eastAsia="Calibri"/>
            <w:szCs w:val="22"/>
          </w:rPr>
          <w:t>Gráfica 5.11</w:t>
        </w:r>
      </w:fldSimple>
      <w:r w:rsidRPr="005B3115">
        <w:rPr>
          <w:rFonts w:eastAsia="Calibri"/>
          <w:szCs w:val="22"/>
        </w:rPr>
        <w:t>)</w:t>
      </w:r>
    </w:p>
    <w:p w:rsidR="00F413F8" w:rsidRPr="00571AC1" w:rsidRDefault="00F413F8" w:rsidP="00F413F8">
      <w:pPr>
        <w:pStyle w:val="Grafica1cap5"/>
      </w:pPr>
      <w:bookmarkStart w:id="61" w:name="_Ref254353015"/>
      <w:r w:rsidRPr="00571AC1">
        <w:t>Precipitación media  ponderada del  acuífero de Huamantla.</w:t>
      </w:r>
      <w:bookmarkEnd w:id="61"/>
    </w:p>
    <w:p w:rsidR="00F413F8" w:rsidRDefault="008011C2" w:rsidP="00F413F8">
      <w:pPr>
        <w:ind w:firstLine="0"/>
        <w:jc w:val="center"/>
        <w:rPr>
          <w:rFonts w:eastAsia="Calibri"/>
          <w:color w:val="17365D"/>
          <w:szCs w:val="22"/>
        </w:rPr>
      </w:pPr>
      <w:r>
        <w:rPr>
          <w:rFonts w:eastAsia="Calibri"/>
          <w:noProof/>
          <w:color w:val="17365D"/>
          <w:szCs w:val="22"/>
          <w:lang w:eastAsia="es-MX"/>
        </w:rPr>
        <w:drawing>
          <wp:inline distT="0" distB="0" distL="0" distR="0">
            <wp:extent cx="4675450" cy="2773090"/>
            <wp:effectExtent l="11730" t="5577" r="8645" b="2633"/>
            <wp:docPr id="24" name="Gráfico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12466" w:rsidRPr="00571AC1" w:rsidRDefault="00A12466" w:rsidP="00F413F8">
      <w:pPr>
        <w:ind w:firstLine="0"/>
        <w:jc w:val="center"/>
        <w:rPr>
          <w:rFonts w:eastAsia="Calibri"/>
          <w:color w:val="17365D"/>
          <w:szCs w:val="22"/>
        </w:rPr>
      </w:pPr>
    </w:p>
    <w:p w:rsidR="00F413F8" w:rsidRPr="00571AC1" w:rsidRDefault="00F413F8" w:rsidP="00F413F8">
      <w:pPr>
        <w:pStyle w:val="Grafica1cap5"/>
      </w:pPr>
      <w:bookmarkStart w:id="62" w:name="_Ref254353032"/>
      <w:r>
        <w:t>P</w:t>
      </w:r>
      <w:r w:rsidRPr="00571AC1">
        <w:t xml:space="preserve">recipitación </w:t>
      </w:r>
      <w:r>
        <w:t xml:space="preserve">mensual </w:t>
      </w:r>
      <w:r w:rsidRPr="00571AC1">
        <w:t>ponderada en el acuífero de Huamantla.</w:t>
      </w:r>
      <w:bookmarkEnd w:id="62"/>
    </w:p>
    <w:p w:rsidR="00F413F8" w:rsidRPr="00571AC1" w:rsidRDefault="008011C2" w:rsidP="00F413F8">
      <w:pPr>
        <w:ind w:firstLine="0"/>
        <w:jc w:val="center"/>
        <w:rPr>
          <w:noProof/>
          <w:color w:val="17365D"/>
          <w:lang w:eastAsia="es-MX"/>
        </w:rPr>
      </w:pPr>
      <w:r>
        <w:rPr>
          <w:noProof/>
          <w:color w:val="17365D"/>
          <w:lang w:eastAsia="es-MX"/>
        </w:rPr>
        <w:drawing>
          <wp:inline distT="0" distB="0" distL="0" distR="0">
            <wp:extent cx="4613127" cy="2651595"/>
            <wp:effectExtent l="12281" t="5880" r="3742" b="0"/>
            <wp:docPr id="25" name="Gráfico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413F8" w:rsidRDefault="00F413F8" w:rsidP="00F413F8">
      <w:pPr>
        <w:rPr>
          <w:rFonts w:eastAsia="Calibri"/>
          <w:szCs w:val="22"/>
        </w:rPr>
      </w:pPr>
      <w:r w:rsidRPr="005B3115">
        <w:rPr>
          <w:rFonts w:eastAsia="Calibri"/>
          <w:szCs w:val="22"/>
        </w:rPr>
        <w:t xml:space="preserve">El acuífero de </w:t>
      </w:r>
      <w:r w:rsidRPr="005B3115">
        <w:t>Libres – Oriental</w:t>
      </w:r>
      <w:r w:rsidRPr="005B3115">
        <w:rPr>
          <w:rFonts w:eastAsia="Calibri"/>
          <w:szCs w:val="22"/>
        </w:rPr>
        <w:t>, se presenta una precipitación media anual de 625 mm, con variación entre 484 mm a 854 mm, representa el 95.6% de la media de los acuíferos de Libres Oriental,  Huamantla y Perote –Zalayeta.  (</w:t>
      </w:r>
      <w:fldSimple w:instr=" REF _Ref254353056 \r \h  \* MERGEFORMAT ">
        <w:r w:rsidR="001C36B4" w:rsidRPr="001C36B4">
          <w:rPr>
            <w:rFonts w:eastAsia="Calibri"/>
            <w:szCs w:val="22"/>
          </w:rPr>
          <w:t>Gráfica 5.12</w:t>
        </w:r>
      </w:fldSimple>
      <w:r w:rsidRPr="005B3115">
        <w:rPr>
          <w:rFonts w:eastAsia="Calibri"/>
          <w:szCs w:val="22"/>
        </w:rPr>
        <w:t>)</w:t>
      </w:r>
      <w:r w:rsidR="005B3115">
        <w:rPr>
          <w:rFonts w:eastAsia="Calibri"/>
          <w:szCs w:val="22"/>
        </w:rPr>
        <w:t>.</w:t>
      </w:r>
    </w:p>
    <w:p w:rsidR="005B3115" w:rsidRDefault="005B3115" w:rsidP="00F413F8">
      <w:pPr>
        <w:rPr>
          <w:rFonts w:eastAsia="Calibri"/>
          <w:szCs w:val="22"/>
        </w:rPr>
      </w:pPr>
    </w:p>
    <w:p w:rsidR="00F413F8" w:rsidRPr="00571AC1" w:rsidRDefault="00F413F8" w:rsidP="00F413F8">
      <w:pPr>
        <w:pStyle w:val="Grafica1cap5"/>
      </w:pPr>
      <w:bookmarkStart w:id="63" w:name="_Ref254353056"/>
      <w:r w:rsidRPr="00571AC1">
        <w:t>Precipitación media  ponderada del  acuífero de Libres - Oriental.</w:t>
      </w:r>
      <w:bookmarkEnd w:id="63"/>
    </w:p>
    <w:p w:rsidR="00F413F8" w:rsidRPr="00571AC1" w:rsidRDefault="008011C2" w:rsidP="00F413F8">
      <w:pPr>
        <w:ind w:firstLine="0"/>
        <w:jc w:val="center"/>
        <w:rPr>
          <w:color w:val="17365D"/>
        </w:rPr>
      </w:pPr>
      <w:r>
        <w:rPr>
          <w:noProof/>
          <w:color w:val="17365D"/>
          <w:lang w:eastAsia="es-MX"/>
        </w:rPr>
        <w:drawing>
          <wp:inline distT="0" distB="0" distL="0" distR="0">
            <wp:extent cx="4035032" cy="2509478"/>
            <wp:effectExtent l="10338" t="5122" r="2755" b="0"/>
            <wp:docPr id="26" name="Grá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413F8" w:rsidRPr="00571AC1" w:rsidRDefault="00F413F8" w:rsidP="00F413F8">
      <w:r w:rsidRPr="00571AC1">
        <w:t>En el acuífero de Libres – Oriental, la precipitación ponderada estacional tiene un comportamiento semejante al del acuífero de Huamantla, con la concentración de la precipitación en los meses de mayo a septiembre con el 75%, siendo los meses de junio y septiembre los más</w:t>
      </w:r>
      <w:r>
        <w:t xml:space="preserve"> lluviosos; el mes má</w:t>
      </w:r>
      <w:r w:rsidRPr="00571AC1">
        <w:t xml:space="preserve">s seco, al igual que el acuífero de Huamantla, es el mes de diciembre, con 1.4% de la precipitación, seguido del mes de febrero, con el 1.7%. La </w:t>
      </w:r>
      <w:fldSimple w:instr=" REF _Ref254353075 \r \h  \* MERGEFORMAT ">
        <w:r w:rsidR="001C36B4">
          <w:t>Gráfica 5.13</w:t>
        </w:r>
      </w:fldSimple>
      <w:r w:rsidRPr="00571AC1">
        <w:t xml:space="preserve"> presenta la distribución media de la lluvia en el año.</w:t>
      </w:r>
    </w:p>
    <w:p w:rsidR="00F413F8" w:rsidRPr="00571AC1" w:rsidRDefault="00F413F8" w:rsidP="00F413F8">
      <w:pPr>
        <w:pStyle w:val="Grafica1cap5"/>
      </w:pPr>
      <w:bookmarkStart w:id="64" w:name="_Ref254353075"/>
      <w:r>
        <w:t>P</w:t>
      </w:r>
      <w:r w:rsidRPr="00571AC1">
        <w:t>recipitación ponderada en el acuífero de Libres - Oriental</w:t>
      </w:r>
      <w:bookmarkEnd w:id="64"/>
    </w:p>
    <w:p w:rsidR="00F413F8" w:rsidRPr="00571AC1" w:rsidRDefault="008011C2" w:rsidP="00F413F8">
      <w:pPr>
        <w:ind w:firstLine="0"/>
        <w:jc w:val="center"/>
      </w:pPr>
      <w:r>
        <w:rPr>
          <w:noProof/>
          <w:lang w:eastAsia="es-MX"/>
        </w:rPr>
        <w:drawing>
          <wp:inline distT="0" distB="0" distL="0" distR="0">
            <wp:extent cx="4127857" cy="2556900"/>
            <wp:effectExtent l="10661" t="5325" r="4857" b="0"/>
            <wp:docPr id="27" name="Gráfico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413F8" w:rsidRPr="005B3115" w:rsidRDefault="00F413F8" w:rsidP="00F413F8">
      <w:pPr>
        <w:rPr>
          <w:rFonts w:eastAsia="Calibri"/>
          <w:szCs w:val="22"/>
        </w:rPr>
      </w:pPr>
      <w:r w:rsidRPr="005B3115">
        <w:rPr>
          <w:rFonts w:eastAsia="Calibri"/>
          <w:szCs w:val="22"/>
        </w:rPr>
        <w:t xml:space="preserve">El acuífero de </w:t>
      </w:r>
      <w:r w:rsidRPr="005B3115">
        <w:t>Perote - Zalayeta</w:t>
      </w:r>
      <w:r w:rsidRPr="005B3115">
        <w:rPr>
          <w:rFonts w:eastAsia="Calibri"/>
          <w:szCs w:val="22"/>
        </w:rPr>
        <w:t xml:space="preserve">, se presenta una precipitación media ponderada anual de 778 mm, con variación entre 468 mm a 1123 mm, representa el 119.2% de la precipitación media </w:t>
      </w:r>
      <w:r w:rsidRPr="005B3115">
        <w:rPr>
          <w:rFonts w:eastAsia="Calibri"/>
          <w:szCs w:val="22"/>
        </w:rPr>
        <w:lastRenderedPageBreak/>
        <w:t>ponderada de los acuíferos de Libres Oriental,  Huamantla y Perote –Zalayeta.  Destacando que de los 3 acuíferos,  este es el más lluvioso. (</w:t>
      </w:r>
      <w:fldSimple w:instr=" REF _Ref254353093 \r \h  \* MERGEFORMAT ">
        <w:r w:rsidR="001C36B4" w:rsidRPr="001C36B4">
          <w:rPr>
            <w:rFonts w:eastAsia="Calibri"/>
            <w:szCs w:val="22"/>
          </w:rPr>
          <w:t>Gráfica 5.14</w:t>
        </w:r>
      </w:fldSimple>
      <w:r w:rsidRPr="005B3115">
        <w:rPr>
          <w:rFonts w:eastAsia="Calibri"/>
          <w:szCs w:val="22"/>
        </w:rPr>
        <w:t>)</w:t>
      </w:r>
    </w:p>
    <w:p w:rsidR="00F413F8" w:rsidRPr="00571AC1" w:rsidRDefault="00F413F8" w:rsidP="00F413F8">
      <w:pPr>
        <w:pStyle w:val="Grafica1cap5"/>
      </w:pPr>
      <w:bookmarkStart w:id="65" w:name="_Ref254353093"/>
      <w:r w:rsidRPr="00571AC1">
        <w:t>Precipitación media ponderada del  acuífero de Perote - Zalayeta.</w:t>
      </w:r>
      <w:bookmarkEnd w:id="65"/>
    </w:p>
    <w:p w:rsidR="00F413F8" w:rsidRPr="00571AC1" w:rsidRDefault="008011C2" w:rsidP="00F413F8">
      <w:pPr>
        <w:ind w:firstLine="0"/>
        <w:jc w:val="center"/>
      </w:pPr>
      <w:r>
        <w:rPr>
          <w:noProof/>
          <w:lang w:eastAsia="es-MX"/>
        </w:rPr>
        <w:drawing>
          <wp:inline distT="0" distB="0" distL="0" distR="0">
            <wp:extent cx="4211487" cy="2670940"/>
            <wp:effectExtent l="10721" t="5585" r="6892" b="0"/>
            <wp:docPr id="28" name="Gráfic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413F8" w:rsidRPr="00571AC1" w:rsidRDefault="00F413F8" w:rsidP="00F413F8">
      <w:r w:rsidRPr="00571AC1">
        <w:t>En el acuífero de Perote - Zalayeta, la precipitación estacional ponderada tiene un comportamiento semejante al de los acuífero de Huamantla y Libres - Oriental, con la concentración de la precipitación en los meses de mayo a septiembre con el 73%, siendo los meses de junio y septiembre los más l</w:t>
      </w:r>
      <w:r w:rsidR="005B3115">
        <w:t>luviosos; el mes má</w:t>
      </w:r>
      <w:r w:rsidRPr="00571AC1">
        <w:t xml:space="preserve">s seco, es el mes de marzo, con el 2.5% de la precipitación anual, seguido del mes de enero, con el 2.7%. La </w:t>
      </w:r>
      <w:fldSimple w:instr=" REF _Ref254353104 \r \h  \* MERGEFORMAT ">
        <w:r w:rsidR="001C36B4">
          <w:t>Gráfica 5.15</w:t>
        </w:r>
      </w:fldSimple>
      <w:r w:rsidRPr="00571AC1">
        <w:t xml:space="preserve"> presenta la distribución media de la lluvia en el año.</w:t>
      </w:r>
    </w:p>
    <w:p w:rsidR="00F413F8" w:rsidRPr="00571AC1" w:rsidRDefault="00F413F8" w:rsidP="00F413F8">
      <w:pPr>
        <w:pStyle w:val="Grafica1cap5"/>
      </w:pPr>
      <w:bookmarkStart w:id="66" w:name="_Ref254353104"/>
      <w:r>
        <w:t>P</w:t>
      </w:r>
      <w:r w:rsidRPr="00571AC1">
        <w:t xml:space="preserve">recipitación </w:t>
      </w:r>
      <w:r>
        <w:t xml:space="preserve">mensual </w:t>
      </w:r>
      <w:r w:rsidRPr="00571AC1">
        <w:t>en el acuífero de Perote – Zalayeta.</w:t>
      </w:r>
      <w:bookmarkEnd w:id="66"/>
    </w:p>
    <w:p w:rsidR="00F413F8" w:rsidRDefault="008011C2" w:rsidP="00F413F8">
      <w:pPr>
        <w:ind w:firstLine="0"/>
        <w:jc w:val="center"/>
        <w:rPr>
          <w:noProof/>
          <w:color w:val="17365D"/>
          <w:lang w:eastAsia="es-MX"/>
        </w:rPr>
      </w:pPr>
      <w:r>
        <w:rPr>
          <w:noProof/>
          <w:color w:val="17365D"/>
          <w:lang w:eastAsia="es-MX"/>
        </w:rPr>
        <w:drawing>
          <wp:inline distT="0" distB="0" distL="0" distR="0">
            <wp:extent cx="4688496" cy="2337966"/>
            <wp:effectExtent l="11782" t="5184" r="5072" b="0"/>
            <wp:docPr id="29" name="Grá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413F8" w:rsidRDefault="00F413F8" w:rsidP="00691AD9"/>
    <w:p w:rsidR="002C7DA3" w:rsidRDefault="00565FAF" w:rsidP="008D35B9">
      <w:pPr>
        <w:pStyle w:val="Ttulo2"/>
      </w:pPr>
      <w:bookmarkStart w:id="67" w:name="_Toc283886449"/>
      <w:r>
        <w:lastRenderedPageBreak/>
        <w:t>Disponibilidad de los recursos hidráulicos y su distribución territorial</w:t>
      </w:r>
      <w:bookmarkEnd w:id="67"/>
    </w:p>
    <w:p w:rsidR="00DC14D7" w:rsidRPr="00DC14D7" w:rsidRDefault="00DC14D7" w:rsidP="00DC14D7">
      <w:pPr>
        <w:outlineLvl w:val="0"/>
        <w:rPr>
          <w:rFonts w:ascii="Arial Rounded MT Bold" w:hAnsi="Arial Rounded MT Bold"/>
          <w:smallCaps/>
          <w:sz w:val="24"/>
          <w:szCs w:val="24"/>
        </w:rPr>
      </w:pPr>
      <w:r w:rsidRPr="00DC14D7">
        <w:rPr>
          <w:rFonts w:ascii="Arial Rounded MT Bold" w:hAnsi="Arial Rounded MT Bold"/>
          <w:smallCaps/>
          <w:sz w:val="24"/>
          <w:szCs w:val="24"/>
        </w:rPr>
        <w:t>Aguas superficiales</w:t>
      </w:r>
    </w:p>
    <w:p w:rsidR="00EC12F6" w:rsidRDefault="00D52046" w:rsidP="00EC12F6">
      <w:r>
        <w:t xml:space="preserve">La </w:t>
      </w:r>
      <w:r w:rsidR="007C2B0E">
        <w:t xml:space="preserve">escasa </w:t>
      </w:r>
      <w:r>
        <w:t xml:space="preserve">disponibilidad de agua superficial se presenta de manera temporal, y en ocasiones de forma torrencial, principalmente en la periferia del polígono que delimita el acuífero Huamantla-Libres Oriental-Perote, </w:t>
      </w:r>
      <w:r w:rsidR="007C2B0E">
        <w:t xml:space="preserve">región que </w:t>
      </w:r>
      <w:r>
        <w:t xml:space="preserve">corresponde a las tres zonas de mayor elevación: Cofre de Perote al noreste; cerro La Malinche al poniente, y Pico de Orizaba al sureste. </w:t>
      </w:r>
    </w:p>
    <w:p w:rsidR="00D52046" w:rsidRDefault="00D52046" w:rsidP="00EC12F6">
      <w:r>
        <w:t xml:space="preserve">Dichos afluentes van perdiendo su condición superficial conforme se adentran al valle central de la zona de estudio, sitio que </w:t>
      </w:r>
      <w:r w:rsidR="007C2B0E">
        <w:t xml:space="preserve">aloja espacio para dos </w:t>
      </w:r>
      <w:r>
        <w:t>lagunas</w:t>
      </w:r>
      <w:r w:rsidR="007C2B0E">
        <w:t xml:space="preserve"> (Totolcingo y El Salado)</w:t>
      </w:r>
      <w:r>
        <w:t xml:space="preserve">, hoy en día, en proceso </w:t>
      </w:r>
      <w:r w:rsidR="000149DC">
        <w:t xml:space="preserve">de </w:t>
      </w:r>
      <w:r>
        <w:t xml:space="preserve">desaparición. </w:t>
      </w:r>
    </w:p>
    <w:p w:rsidR="003327D6" w:rsidRDefault="003327D6" w:rsidP="00EC12F6">
      <w:r>
        <w:t xml:space="preserve">Otros cuerpos superficiales lo conforman las lagunas conocidas como </w:t>
      </w:r>
      <w:proofErr w:type="spellStart"/>
      <w:r>
        <w:t>axalapascos</w:t>
      </w:r>
      <w:proofErr w:type="spellEnd"/>
      <w:r>
        <w:t xml:space="preserve"> las cuales más que ser de origen fluvial, guardan relación directa con los niveles de agua subterránea. Dichos cuerpos de agua se localizan en el centro-este del valle de Oriental, </w:t>
      </w:r>
      <w:r w:rsidR="00AD04E5">
        <w:t xml:space="preserve">desde la población de </w:t>
      </w:r>
      <w:proofErr w:type="spellStart"/>
      <w:r w:rsidR="00AD04E5">
        <w:t>Aljojuca</w:t>
      </w:r>
      <w:proofErr w:type="spellEnd"/>
      <w:r w:rsidR="00AD04E5">
        <w:t xml:space="preserve"> hasta al </w:t>
      </w:r>
      <w:proofErr w:type="spellStart"/>
      <w:r w:rsidR="00AD04E5">
        <w:t>Alchichica</w:t>
      </w:r>
      <w:proofErr w:type="spellEnd"/>
      <w:r w:rsidR="00AD04E5">
        <w:t xml:space="preserve">, pasando por </w:t>
      </w:r>
      <w:proofErr w:type="spellStart"/>
      <w:r w:rsidR="00AD04E5">
        <w:t>Tlachichuca</w:t>
      </w:r>
      <w:proofErr w:type="spellEnd"/>
      <w:r w:rsidR="00AD04E5">
        <w:t xml:space="preserve">, </w:t>
      </w:r>
      <w:proofErr w:type="spellStart"/>
      <w:r w:rsidR="00AD04E5">
        <w:t>Alamos</w:t>
      </w:r>
      <w:proofErr w:type="spellEnd"/>
      <w:r w:rsidR="00AD04E5">
        <w:t xml:space="preserve"> </w:t>
      </w:r>
      <w:proofErr w:type="spellStart"/>
      <w:r w:rsidR="00AD04E5">
        <w:t>Tepetitlan</w:t>
      </w:r>
      <w:proofErr w:type="spellEnd"/>
      <w:r w:rsidR="00AD04E5">
        <w:t xml:space="preserve"> y Guadalupe Victoria. Todas los </w:t>
      </w:r>
      <w:proofErr w:type="spellStart"/>
      <w:r w:rsidR="00AD04E5">
        <w:t>axalapascos</w:t>
      </w:r>
      <w:proofErr w:type="spellEnd"/>
      <w:r w:rsidR="00AD04E5">
        <w:t xml:space="preserve"> se localizan dentro de territorio poblano.</w:t>
      </w:r>
    </w:p>
    <w:p w:rsidR="00DC14D7" w:rsidRDefault="00DC14D7" w:rsidP="00DC14D7">
      <w:r>
        <w:t>La disponibilidad de aguas superficiales en estas cuencas, podría verse progresivamente limitada conforme se construyan pequeños aprovechamientos o embalses para intensificar el aprovechamiento de escurrimientos, sin embargo, ante lo accesible que resulta el agua subterránea, las fuentes superficiales continuarán siendo una opción exclusiva de aquellos usuarios que viven al pie de las principales sierras, que cuentan con manantiales u otros escurrimientos accesibles en sus inmediaciones, que cuente con su título de</w:t>
      </w:r>
      <w:r w:rsidR="000149DC">
        <w:t xml:space="preserve"> concesión o asignación vigente. </w:t>
      </w:r>
    </w:p>
    <w:p w:rsidR="00DC14D7" w:rsidRDefault="00DC14D7" w:rsidP="00DC14D7">
      <w:r>
        <w:t>Resulta de gran relevancia la valoración del equilibrio hidrológico en las lagunas.  Es imperativo evitar cualquier esquema de sobreexplotación ya sea local o regional, que conlleve a una pérdida de estos embalses o que modifique adversamente el esquema de funcionamiento hidrodinámico</w:t>
      </w:r>
      <w:r w:rsidR="008E1D24">
        <w:t xml:space="preserve">, favoreciendo </w:t>
      </w:r>
      <w:r>
        <w:t xml:space="preserve">la migración de volúmenes de mala calidad desde las lagunas hacia el </w:t>
      </w:r>
      <w:r w:rsidR="008E1D24">
        <w:t xml:space="preserve">resto del </w:t>
      </w:r>
      <w:r>
        <w:t>acuífero.</w:t>
      </w:r>
    </w:p>
    <w:p w:rsidR="009C71F7" w:rsidRPr="009C71F7" w:rsidRDefault="009C71F7" w:rsidP="009C71F7">
      <w:pPr>
        <w:outlineLvl w:val="0"/>
        <w:rPr>
          <w:rFonts w:ascii="Arial Rounded MT Bold" w:hAnsi="Arial Rounded MT Bold"/>
          <w:smallCaps/>
          <w:sz w:val="24"/>
          <w:szCs w:val="24"/>
        </w:rPr>
      </w:pPr>
      <w:r w:rsidRPr="009C71F7">
        <w:rPr>
          <w:rFonts w:ascii="Arial Rounded MT Bold" w:hAnsi="Arial Rounded MT Bold"/>
          <w:smallCaps/>
          <w:sz w:val="24"/>
          <w:szCs w:val="24"/>
        </w:rPr>
        <w:t>Aguas subterráneas</w:t>
      </w:r>
    </w:p>
    <w:p w:rsidR="000149DC" w:rsidRPr="00D22070" w:rsidRDefault="000149DC" w:rsidP="000149DC">
      <w:r w:rsidRPr="00D22070">
        <w:t>En torno a la disponibilidad</w:t>
      </w:r>
      <w:r w:rsidR="00804FD2">
        <w:t xml:space="preserve"> de agua subterránea</w:t>
      </w:r>
      <w:r w:rsidRPr="00D22070">
        <w:t xml:space="preserve">, aquellas zonas que actualmente presentan síntomas de sobreexplotación local, necesariamente deben recuperar el equilibrio en su balance; esto deben lograrlo mediante políticas de desconcentración de extracciones, así como con el apoyo en programas de uso eficiente del agua.  </w:t>
      </w:r>
      <w:r w:rsidR="009931B5">
        <w:t xml:space="preserve">En este tenor, es necesaria </w:t>
      </w:r>
      <w:r w:rsidRPr="00D22070">
        <w:t>una planeación para que el ordenamiento territorial tenga una correspondencia con la capacidad de recuperación de los mantos acuíferos.</w:t>
      </w:r>
    </w:p>
    <w:p w:rsidR="000149DC" w:rsidRPr="00D22070" w:rsidRDefault="000149DC" w:rsidP="000149DC">
      <w:r>
        <w:t>L</w:t>
      </w:r>
      <w:r w:rsidR="00AD04E5">
        <w:t xml:space="preserve">a disponibilidad de aguas subterráneas es mayor en la parte central de la cuenca de Oriental, dada la configuración de flujos subterráneos, </w:t>
      </w:r>
      <w:r w:rsidR="008A09F3">
        <w:t xml:space="preserve">ya que </w:t>
      </w:r>
      <w:r w:rsidR="00AD04E5">
        <w:t xml:space="preserve">es la zona donde las profundidades del nivel estático son menores, y por lo tanto, son zonas donde los aprovechamientos se concentran en </w:t>
      </w:r>
      <w:r w:rsidR="00AD04E5">
        <w:lastRenderedPageBreak/>
        <w:t>mayor medida</w:t>
      </w:r>
      <w:r w:rsidR="009931B5">
        <w:t xml:space="preserve">, </w:t>
      </w:r>
      <w:r>
        <w:t>pero</w:t>
      </w:r>
      <w:r w:rsidRPr="00D22070">
        <w:t xml:space="preserve"> durante los últimos 40 años se ha observado un par de procesos que afectan su reserva: una ligera sobreexplotación y la contaminación.</w:t>
      </w:r>
    </w:p>
    <w:p w:rsidR="000149DC" w:rsidRDefault="009931B5" w:rsidP="000149DC">
      <w:r w:rsidRPr="009931B5">
        <w:t>Como se ha mencionado en otros apartados, l</w:t>
      </w:r>
      <w:r w:rsidR="000149DC" w:rsidRPr="009931B5">
        <w:t>a sobreexplotación es hasta ah</w:t>
      </w:r>
      <w:r w:rsidRPr="009931B5">
        <w:t>ora es en apariencia moderada, si</w:t>
      </w:r>
      <w:r w:rsidR="000149DC" w:rsidRPr="009931B5">
        <w:t>n embargo</w:t>
      </w:r>
      <w:r w:rsidRPr="009931B5">
        <w:t>,</w:t>
      </w:r>
      <w:r w:rsidR="000149DC" w:rsidRPr="009931B5">
        <w:t xml:space="preserve"> puede acentuar el abatimiento </w:t>
      </w:r>
      <w:r>
        <w:t>a partir de descensos acelerados de niveles piezométricos como en el Huamantla</w:t>
      </w:r>
      <w:r w:rsidR="000149DC" w:rsidRPr="009931B5">
        <w:t>.</w:t>
      </w:r>
    </w:p>
    <w:p w:rsidR="002E1A6C" w:rsidRDefault="002E1A6C" w:rsidP="000149DC">
      <w:r>
        <w:t xml:space="preserve">En la </w:t>
      </w:r>
      <w:r w:rsidR="00BE2961">
        <w:fldChar w:fldCharType="begin"/>
      </w:r>
      <w:r>
        <w:instrText xml:space="preserve"> REF _Ref283718974 \r \h </w:instrText>
      </w:r>
      <w:r w:rsidR="00BE2961">
        <w:fldChar w:fldCharType="separate"/>
      </w:r>
      <w:r w:rsidR="001C36B4">
        <w:t>Figura 5.8</w:t>
      </w:r>
      <w:r w:rsidR="00BE2961">
        <w:fldChar w:fldCharType="end"/>
      </w:r>
      <w:r>
        <w:t xml:space="preserve">, </w:t>
      </w:r>
      <w:r w:rsidR="00BE2961">
        <w:fldChar w:fldCharType="begin"/>
      </w:r>
      <w:r>
        <w:instrText xml:space="preserve"> REF _Ref283718976 \r \h </w:instrText>
      </w:r>
      <w:r w:rsidR="00BE2961">
        <w:fldChar w:fldCharType="separate"/>
      </w:r>
      <w:r w:rsidR="001C36B4">
        <w:t>0</w:t>
      </w:r>
      <w:r w:rsidR="00BE2961">
        <w:fldChar w:fldCharType="end"/>
      </w:r>
      <w:r>
        <w:t xml:space="preserve"> y </w:t>
      </w:r>
      <w:r w:rsidR="00BE2961">
        <w:fldChar w:fldCharType="begin"/>
      </w:r>
      <w:r>
        <w:instrText xml:space="preserve"> REF _Ref283718977 \r \h </w:instrText>
      </w:r>
      <w:r w:rsidR="00BE2961">
        <w:fldChar w:fldCharType="separate"/>
      </w:r>
      <w:r w:rsidR="001C36B4">
        <w:t>Figura 5.10</w:t>
      </w:r>
      <w:r w:rsidR="00BE2961">
        <w:fldChar w:fldCharType="end"/>
      </w:r>
      <w:r>
        <w:t xml:space="preserve">, se presenta la disponibilidad media anual de los tres acuíferos </w:t>
      </w:r>
      <w:r w:rsidR="00FD5823">
        <w:t xml:space="preserve">encontrándose importantes situaciones al respecto. </w:t>
      </w:r>
    </w:p>
    <w:p w:rsidR="00FD5823" w:rsidRPr="009931B5" w:rsidRDefault="00FD5823" w:rsidP="000149DC">
      <w:r>
        <w:t xml:space="preserve">Para el caso del acuífero de Huamantla, se publica en el Diario Oficial de la Federación (28 de agosto de 2009) una disponibilidad de agua subterránea, sin embargo, considerando los volúmenes de extracción real, dicha disponibilidad desaparece. </w:t>
      </w:r>
      <w:r w:rsidR="001E715D">
        <w:t>Para el caso de los acuíferos Libres-Oriental y Perote, la condición de disponibilidad se mantiene según lo publicado en el DOF</w:t>
      </w:r>
      <w:r>
        <w:t>.</w:t>
      </w:r>
    </w:p>
    <w:p w:rsidR="009D004B" w:rsidRPr="00D22070" w:rsidRDefault="009D004B" w:rsidP="009D004B">
      <w:pPr>
        <w:pStyle w:val="figura1cap5"/>
      </w:pPr>
      <w:bookmarkStart w:id="68" w:name="_Ref283718974"/>
      <w:r>
        <w:t>Cálculo de la disponibilidad media anual del acuífero Huamantla, Tlaxcala.</w:t>
      </w:r>
      <w:bookmarkEnd w:id="68"/>
    </w:p>
    <w:p w:rsidR="000149DC" w:rsidRDefault="001275F6" w:rsidP="00EC12F6">
      <w:r>
        <w:rPr>
          <w:noProof/>
          <w:lang w:eastAsia="es-MX"/>
        </w:rPr>
        <w:drawing>
          <wp:inline distT="0" distB="0" distL="0" distR="0">
            <wp:extent cx="5692981" cy="3228684"/>
            <wp:effectExtent l="19050" t="0" r="2969" b="0"/>
            <wp:docPr id="93" name="92 Imagen" descr="Disponibilidad_Huamantl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onibilidad_Huamantla.emf"/>
                    <pic:cNvPicPr/>
                  </pic:nvPicPr>
                  <pic:blipFill>
                    <a:blip r:embed="rId41" cstate="print"/>
                    <a:srcRect t="11111" b="12920"/>
                    <a:stretch>
                      <a:fillRect/>
                    </a:stretch>
                  </pic:blipFill>
                  <pic:spPr>
                    <a:xfrm>
                      <a:off x="0" y="0"/>
                      <a:ext cx="5696055" cy="3230427"/>
                    </a:xfrm>
                    <a:prstGeom prst="rect">
                      <a:avLst/>
                    </a:prstGeom>
                  </pic:spPr>
                </pic:pic>
              </a:graphicData>
            </a:graphic>
          </wp:inline>
        </w:drawing>
      </w:r>
    </w:p>
    <w:p w:rsidR="009D004B" w:rsidRDefault="009D004B" w:rsidP="00EC12F6"/>
    <w:p w:rsidR="002E1A6C" w:rsidRPr="00D22070" w:rsidRDefault="002E1A6C" w:rsidP="002E1A6C">
      <w:r>
        <w:t xml:space="preserve">Desde la perspectiva de recuperación, </w:t>
      </w:r>
      <w:r w:rsidRPr="00D22070">
        <w:t>estos acuíferos comparados con otros del país que se encuentran en estado más crítico, aún tienen oportunidad de fomentar un esquema de desarrollo en lugar de reducir poco a poco las oportunidades que el agua o</w:t>
      </w:r>
      <w:r>
        <w:t>frece a las actividades humanas</w:t>
      </w:r>
      <w:r w:rsidRPr="00D22070">
        <w:t>.</w:t>
      </w:r>
    </w:p>
    <w:p w:rsidR="009D004B" w:rsidRDefault="009D004B" w:rsidP="00EC12F6"/>
    <w:p w:rsidR="003C3298" w:rsidRDefault="003C3298">
      <w:pPr>
        <w:spacing w:before="0" w:after="0" w:line="240" w:lineRule="auto"/>
        <w:ind w:firstLine="0"/>
        <w:jc w:val="left"/>
        <w:rPr>
          <w:i/>
          <w:color w:val="214F75"/>
        </w:rPr>
      </w:pPr>
      <w:bookmarkStart w:id="69" w:name="_Ref283718976"/>
      <w:r>
        <w:br w:type="page"/>
      </w:r>
    </w:p>
    <w:p w:rsidR="001275F6" w:rsidRDefault="009D004B" w:rsidP="009D004B">
      <w:pPr>
        <w:pStyle w:val="figura1cap5"/>
      </w:pPr>
      <w:r>
        <w:lastRenderedPageBreak/>
        <w:t>Cálculo de la disponibilidad media anual del acuífero Libres-Oriental, Puebla</w:t>
      </w:r>
      <w:bookmarkEnd w:id="69"/>
    </w:p>
    <w:p w:rsidR="009D004B" w:rsidRDefault="009D004B" w:rsidP="009D004B">
      <w:r w:rsidRPr="009D004B">
        <w:rPr>
          <w:noProof/>
          <w:lang w:eastAsia="es-MX"/>
        </w:rPr>
        <w:drawing>
          <wp:inline distT="0" distB="0" distL="0" distR="0">
            <wp:extent cx="5752357" cy="3269301"/>
            <wp:effectExtent l="19050" t="0" r="743" b="0"/>
            <wp:docPr id="96" name="93 Imagen" descr="Disponibilidad_Libre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onibilidad_Libres.emf"/>
                    <pic:cNvPicPr/>
                  </pic:nvPicPr>
                  <pic:blipFill>
                    <a:blip r:embed="rId42" cstate="print"/>
                    <a:srcRect t="11480" b="12387"/>
                    <a:stretch>
                      <a:fillRect/>
                    </a:stretch>
                  </pic:blipFill>
                  <pic:spPr>
                    <a:xfrm>
                      <a:off x="0" y="0"/>
                      <a:ext cx="5752357" cy="3269301"/>
                    </a:xfrm>
                    <a:prstGeom prst="rect">
                      <a:avLst/>
                    </a:prstGeom>
                  </pic:spPr>
                </pic:pic>
              </a:graphicData>
            </a:graphic>
          </wp:inline>
        </w:drawing>
      </w:r>
    </w:p>
    <w:p w:rsidR="009D004B" w:rsidRDefault="009D004B" w:rsidP="009D004B"/>
    <w:p w:rsidR="009D004B" w:rsidRDefault="009D004B" w:rsidP="009D004B">
      <w:pPr>
        <w:pStyle w:val="figura1cap5"/>
      </w:pPr>
      <w:bookmarkStart w:id="70" w:name="_Ref283718977"/>
      <w:r>
        <w:t>Cálculo de la disponibilidad media anual del acuífero Perote-</w:t>
      </w:r>
      <w:r w:rsidR="00106565">
        <w:t>Zalayet</w:t>
      </w:r>
      <w:bookmarkEnd w:id="70"/>
      <w:r w:rsidR="00A12466">
        <w:t>a, Veracruz</w:t>
      </w:r>
    </w:p>
    <w:p w:rsidR="001275F6" w:rsidRDefault="001E715D" w:rsidP="00EC12F6">
      <w:r>
        <w:rPr>
          <w:noProof/>
          <w:lang w:eastAsia="es-MX"/>
        </w:rPr>
        <w:drawing>
          <wp:inline distT="0" distB="0" distL="0" distR="0">
            <wp:extent cx="5827792" cy="3372592"/>
            <wp:effectExtent l="19050" t="0" r="1508" b="0"/>
            <wp:docPr id="37" name="36 Imagen" descr="Disponibilidad_Perote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onibilidad_Perote2.emf"/>
                    <pic:cNvPicPr/>
                  </pic:nvPicPr>
                  <pic:blipFill>
                    <a:blip r:embed="rId43" cstate="print"/>
                    <a:srcRect t="8527" b="13954"/>
                    <a:stretch>
                      <a:fillRect/>
                    </a:stretch>
                  </pic:blipFill>
                  <pic:spPr>
                    <a:xfrm>
                      <a:off x="0" y="0"/>
                      <a:ext cx="5827792" cy="3372592"/>
                    </a:xfrm>
                    <a:prstGeom prst="rect">
                      <a:avLst/>
                    </a:prstGeom>
                  </pic:spPr>
                </pic:pic>
              </a:graphicData>
            </a:graphic>
          </wp:inline>
        </w:drawing>
      </w:r>
    </w:p>
    <w:p w:rsidR="001275F6" w:rsidRDefault="001275F6" w:rsidP="00EC12F6"/>
    <w:p w:rsidR="00565FAF" w:rsidRDefault="00565FAF" w:rsidP="008D35B9">
      <w:pPr>
        <w:pStyle w:val="Ttulo2"/>
      </w:pPr>
      <w:bookmarkStart w:id="71" w:name="_Toc283886450"/>
      <w:r>
        <w:lastRenderedPageBreak/>
        <w:t>Aguas subterráneas</w:t>
      </w:r>
      <w:bookmarkEnd w:id="71"/>
    </w:p>
    <w:p w:rsidR="00565FAF" w:rsidRDefault="00565FAF" w:rsidP="008D35B9">
      <w:pPr>
        <w:pStyle w:val="Ttulo3"/>
      </w:pPr>
      <w:r>
        <w:tab/>
      </w:r>
      <w:bookmarkStart w:id="72" w:name="_Toc283886451"/>
      <w:r>
        <w:t>Geología</w:t>
      </w:r>
      <w:bookmarkEnd w:id="72"/>
    </w:p>
    <w:p w:rsidR="00B104EA" w:rsidRPr="00BD2915" w:rsidRDefault="00B104EA" w:rsidP="00B104EA">
      <w:pPr>
        <w:pStyle w:val="Ttulo4"/>
      </w:pPr>
      <w:bookmarkStart w:id="73" w:name="_Toc245123226"/>
      <w:bookmarkStart w:id="74" w:name="_Toc256703612"/>
      <w:bookmarkStart w:id="75" w:name="_Toc259787071"/>
      <w:bookmarkStart w:id="76" w:name="_Toc283886452"/>
      <w:r w:rsidRPr="00BD2915">
        <w:t>Fisiografía</w:t>
      </w:r>
      <w:bookmarkEnd w:id="73"/>
      <w:bookmarkEnd w:id="74"/>
      <w:bookmarkEnd w:id="75"/>
      <w:bookmarkEnd w:id="76"/>
    </w:p>
    <w:p w:rsidR="00B104EA" w:rsidRPr="00BD2915" w:rsidRDefault="00B104EA" w:rsidP="00B104EA">
      <w:r w:rsidRPr="00BD2915">
        <w:t xml:space="preserve">De acuerdo a la delimitación fisiográfica de </w:t>
      </w:r>
      <w:proofErr w:type="spellStart"/>
      <w:r w:rsidRPr="00BD2915">
        <w:t>Erwin</w:t>
      </w:r>
      <w:proofErr w:type="spellEnd"/>
      <w:r w:rsidRPr="00BD2915">
        <w:t xml:space="preserve"> </w:t>
      </w:r>
      <w:proofErr w:type="spellStart"/>
      <w:r w:rsidRPr="00BD2915">
        <w:t>Raisz</w:t>
      </w:r>
      <w:proofErr w:type="spellEnd"/>
      <w:r w:rsidRPr="00BD2915">
        <w:t xml:space="preserve"> (1959), la cuenca de Oriental se encuentra en el extremo oriente de la provincia fisiográfica denominada  “Cordillera Volcánica </w:t>
      </w:r>
      <w:proofErr w:type="spellStart"/>
      <w:r w:rsidRPr="00BD2915">
        <w:t>Transmexicana</w:t>
      </w:r>
      <w:proofErr w:type="spellEnd"/>
      <w:r w:rsidRPr="00BD2915">
        <w:t>” misma que representa una extensa zona volcánica que atraviesa la República Mexicana de oeste a este, así como, parte de la provincia “Sierra Madre del Sur”.</w:t>
      </w:r>
    </w:p>
    <w:p w:rsidR="00B104EA" w:rsidRPr="00BD2915" w:rsidRDefault="00B104EA" w:rsidP="00B104EA">
      <w:r w:rsidRPr="00BD2915">
        <w:t xml:space="preserve">La Cordillera Volcánica </w:t>
      </w:r>
      <w:proofErr w:type="spellStart"/>
      <w:r w:rsidRPr="00BD2915">
        <w:t>Transmexicana</w:t>
      </w:r>
      <w:proofErr w:type="spellEnd"/>
      <w:r w:rsidRPr="00BD2915">
        <w:t xml:space="preserve"> resulta una provincia volcánica en la que han sucedido diversos eventos ígneos, a través del Terciario Medio y Superior, así como en el Cuaternario. Las emisiones volcánicas emitidas a lo largo de toda esta provincia, de carácter </w:t>
      </w:r>
      <w:proofErr w:type="spellStart"/>
      <w:r w:rsidRPr="00BD2915">
        <w:t>calcoalcalino</w:t>
      </w:r>
      <w:proofErr w:type="spellEnd"/>
      <w:r w:rsidRPr="00BD2915">
        <w:t xml:space="preserve"> (basaltos, andesitas y riolitas), han dado origen a conos de escorias y de cenizas, volcanes compuestos, volcanes en escudo, calderas y domos, además de sierras y cadenas montañosas, entre las cuales se han generado valles </w:t>
      </w:r>
      <w:proofErr w:type="spellStart"/>
      <w:r w:rsidRPr="00BD2915">
        <w:t>intermontanos</w:t>
      </w:r>
      <w:proofErr w:type="spellEnd"/>
      <w:r w:rsidRPr="00BD2915">
        <w:t>, llanuras y cuencas.</w:t>
      </w:r>
    </w:p>
    <w:p w:rsidR="00B104EA" w:rsidRPr="00BD2915" w:rsidRDefault="00B104EA" w:rsidP="00B104EA">
      <w:r w:rsidRPr="00BD2915">
        <w:t xml:space="preserve">Un 10% de la zona estudiada se encuentra contenida en la provincia  “Sierra Madre del Sur”, que consiste en rocas </w:t>
      </w:r>
      <w:proofErr w:type="spellStart"/>
      <w:r w:rsidRPr="00BD2915">
        <w:t>metasedimentarias</w:t>
      </w:r>
      <w:proofErr w:type="spellEnd"/>
      <w:r w:rsidRPr="00BD2915">
        <w:t xml:space="preserve">, principalmente, cubiertas por rocas marinas mesozoicas y depósitos continentales terciarios. Esta provincia se caracteriza por presentar una serie de depresiones que son </w:t>
      </w:r>
      <w:proofErr w:type="spellStart"/>
      <w:r w:rsidRPr="00BD2915">
        <w:t>disectadas</w:t>
      </w:r>
      <w:proofErr w:type="spellEnd"/>
      <w:r w:rsidRPr="00BD2915">
        <w:t xml:space="preserve"> por un gran número de corrientes fluviales que han erosionado a rocas pre-terciarias, de poca coherencia. Dentro de la cuenca, la sierra de </w:t>
      </w:r>
      <w:proofErr w:type="spellStart"/>
      <w:r w:rsidRPr="00BD2915">
        <w:t>Soltepec</w:t>
      </w:r>
      <w:proofErr w:type="spellEnd"/>
      <w:r w:rsidRPr="00BD2915">
        <w:t xml:space="preserve"> resulta ser el único vestigio presente de la Sierra Madre del Sur.</w:t>
      </w:r>
    </w:p>
    <w:p w:rsidR="00B104EA" w:rsidRPr="00BD2915" w:rsidRDefault="00B104EA" w:rsidP="00B104EA">
      <w:pPr>
        <w:pStyle w:val="Ttulo4"/>
      </w:pPr>
      <w:bookmarkStart w:id="77" w:name="_Toc245123227"/>
      <w:bookmarkStart w:id="78" w:name="_Toc256703613"/>
      <w:bookmarkStart w:id="79" w:name="_Toc259787072"/>
      <w:bookmarkStart w:id="80" w:name="_Toc283886453"/>
      <w:r w:rsidRPr="00BD2915">
        <w:t>Geomorfología</w:t>
      </w:r>
      <w:bookmarkEnd w:id="77"/>
      <w:bookmarkEnd w:id="78"/>
      <w:bookmarkEnd w:id="79"/>
      <w:bookmarkEnd w:id="80"/>
    </w:p>
    <w:p w:rsidR="00B104EA" w:rsidRPr="00BD2915" w:rsidRDefault="00B104EA" w:rsidP="00B104EA">
      <w:r w:rsidRPr="00BD2915">
        <w:t xml:space="preserve">Geomorfológicamente, la zona está considerada como una cuenca del tipo </w:t>
      </w:r>
      <w:proofErr w:type="spellStart"/>
      <w:r w:rsidRPr="00BD2915">
        <w:t>endorréico</w:t>
      </w:r>
      <w:proofErr w:type="spellEnd"/>
      <w:r w:rsidRPr="00BD2915">
        <w:t>, cuyos límites naturales lo constituyen tanto sierras de composición volcánica como sedimentaria.</w:t>
      </w:r>
    </w:p>
    <w:p w:rsidR="00B104EA" w:rsidRPr="00BD2915" w:rsidRDefault="00B104EA" w:rsidP="00B104EA">
      <w:r w:rsidRPr="00BD2915">
        <w:t>Al oriente, la cuenca está delimitada por dos volcanes complejos : Pico de Orizaba y Cofre de Perote, que en su caso, presentan, un patrón de drenaje radial, centrífugo, cuya densidad y profundidad de disección, se intensifica en las laderas con pendientes abruptas, hasta desaparecer en las zonas en que la pendiente se anula.</w:t>
      </w:r>
    </w:p>
    <w:p w:rsidR="00B104EA" w:rsidRPr="00BD2915" w:rsidRDefault="00B104EA" w:rsidP="00B104EA">
      <w:r w:rsidRPr="00BD2915">
        <w:t xml:space="preserve">De manera común, el patrón de drenaje es de tipo radial centrífugo, intensificándose su densidad y profundidad de disección en las laderas con pendientes abruptas. Cuando las estructuras presentan un mayor contenido de </w:t>
      </w:r>
      <w:proofErr w:type="spellStart"/>
      <w:r w:rsidRPr="00BD2915">
        <w:t>piroclastos</w:t>
      </w:r>
      <w:proofErr w:type="spellEnd"/>
      <w:r w:rsidRPr="00BD2915">
        <w:t xml:space="preserve"> limo-arenosos han dado pie a la formación de barrancas profundas y estrechas con laderas verticales. En su porción occidental las estructuras se encuentran “cortadas”, lo que ha creado un cambio en los patrones de drenaje radial centrífugo a </w:t>
      </w:r>
      <w:proofErr w:type="spellStart"/>
      <w:r w:rsidRPr="00BD2915">
        <w:t>subdendrítico</w:t>
      </w:r>
      <w:proofErr w:type="spellEnd"/>
      <w:r w:rsidRPr="00BD2915">
        <w:t xml:space="preserve"> y rectangular, que afectan a cerros mayormente </w:t>
      </w:r>
      <w:proofErr w:type="spellStart"/>
      <w:r w:rsidRPr="00BD2915">
        <w:t>disectados</w:t>
      </w:r>
      <w:proofErr w:type="spellEnd"/>
      <w:r w:rsidRPr="00BD2915">
        <w:t xml:space="preserve">, constituidos por rocas calcáreas en </w:t>
      </w:r>
      <w:proofErr w:type="spellStart"/>
      <w:r w:rsidRPr="00BD2915">
        <w:t>limitancia</w:t>
      </w:r>
      <w:proofErr w:type="spellEnd"/>
      <w:r w:rsidRPr="00BD2915">
        <w:t xml:space="preserve"> con los volcánicos. Según diversos autores, esto se debe a la presencia de una falla regional del tipo </w:t>
      </w:r>
      <w:proofErr w:type="spellStart"/>
      <w:r w:rsidRPr="00BD2915">
        <w:t>sinestral</w:t>
      </w:r>
      <w:proofErr w:type="spellEnd"/>
      <w:r w:rsidRPr="00BD2915">
        <w:t>.</w:t>
      </w:r>
    </w:p>
    <w:p w:rsidR="00B104EA" w:rsidRPr="00BD2915" w:rsidRDefault="00B104EA" w:rsidP="00B104EA">
      <w:r w:rsidRPr="00BD2915">
        <w:t xml:space="preserve">Por contraste, al poniente, la cuenca queda limitada por el estratovolcán conocido como La Malinche, cuyos continuos eventos generaron lavas y </w:t>
      </w:r>
      <w:proofErr w:type="spellStart"/>
      <w:r w:rsidRPr="00BD2915">
        <w:t>piroclastos</w:t>
      </w:r>
      <w:proofErr w:type="spellEnd"/>
      <w:r w:rsidRPr="00BD2915">
        <w:t xml:space="preserve"> de composición </w:t>
      </w:r>
      <w:proofErr w:type="spellStart"/>
      <w:r w:rsidRPr="00BD2915">
        <w:t>andesítica</w:t>
      </w:r>
      <w:proofErr w:type="spellEnd"/>
      <w:r w:rsidRPr="00BD2915">
        <w:t xml:space="preserve"> en su porción central y brechas volcánicas (ligeramente </w:t>
      </w:r>
      <w:proofErr w:type="spellStart"/>
      <w:r w:rsidRPr="00BD2915">
        <w:t>retrabajadas</w:t>
      </w:r>
      <w:proofErr w:type="spellEnd"/>
      <w:r w:rsidRPr="00BD2915">
        <w:t xml:space="preserve">) con </w:t>
      </w:r>
      <w:proofErr w:type="spellStart"/>
      <w:r w:rsidRPr="00BD2915">
        <w:t>piroclastos</w:t>
      </w:r>
      <w:proofErr w:type="spellEnd"/>
      <w:r w:rsidRPr="00BD2915">
        <w:t xml:space="preserve">, en las laderas. Al </w:t>
      </w:r>
      <w:r w:rsidRPr="00BD2915">
        <w:lastRenderedPageBreak/>
        <w:t>igual que en la porción oriental, el patrón de drenaje creado es del tipo radial centrífugo, con una densidad y profundidad de disección del drenaje moderada a alta en las zonas con fuerte pendiente y baja o nula a medida que se acerca a las porciones con poca pendiente.</w:t>
      </w:r>
    </w:p>
    <w:p w:rsidR="00AD31A5" w:rsidRDefault="00B104EA" w:rsidP="00B104EA">
      <w:r w:rsidRPr="00BD2915">
        <w:t xml:space="preserve">Al norte, la cuenca está delimitada por la caldera de Los Humeros, estructura volcánica de evidente complejidad, formada después de distintos eventos efusivos y </w:t>
      </w:r>
      <w:proofErr w:type="spellStart"/>
      <w:r w:rsidRPr="00BD2915">
        <w:t>extrusivos</w:t>
      </w:r>
      <w:proofErr w:type="spellEnd"/>
      <w:r w:rsidRPr="00BD2915">
        <w:t xml:space="preserve">. Compuesta por andesitas y tobas </w:t>
      </w:r>
      <w:proofErr w:type="spellStart"/>
      <w:r w:rsidRPr="00BD2915">
        <w:t>ignimbritizadas</w:t>
      </w:r>
      <w:proofErr w:type="spellEnd"/>
      <w:r w:rsidRPr="00BD2915">
        <w:t xml:space="preserve">, la caldera ha desarrollado muy poco drenaje en las porciones altas, debido a la elevada permeabilidad de los materiales piroclásticos existentes en ellas. Al noroeste, la sierra de </w:t>
      </w:r>
      <w:proofErr w:type="spellStart"/>
      <w:r w:rsidRPr="00BD2915">
        <w:t>Tlaxco</w:t>
      </w:r>
      <w:proofErr w:type="spellEnd"/>
      <w:r w:rsidRPr="00BD2915">
        <w:t xml:space="preserve"> se presenta como una alineación montañosa, compuesta por andesitas y tobas, cuyo drenaje es del tipo </w:t>
      </w:r>
      <w:proofErr w:type="spellStart"/>
      <w:r w:rsidRPr="00BD2915">
        <w:t>subdendrítico</w:t>
      </w:r>
      <w:proofErr w:type="spellEnd"/>
      <w:r w:rsidRPr="00BD2915">
        <w:t xml:space="preserve"> al oriente y, paralelo al poniente.</w:t>
      </w:r>
      <w:r w:rsidR="00AD31A5">
        <w:t xml:space="preserve"> </w:t>
      </w:r>
    </w:p>
    <w:p w:rsidR="00B104EA" w:rsidRPr="00BD2915" w:rsidRDefault="00B104EA" w:rsidP="00B104EA">
      <w:r w:rsidRPr="00BD2915">
        <w:t xml:space="preserve">La zona se encuentra limitada al sur por la sierra de </w:t>
      </w:r>
      <w:proofErr w:type="spellStart"/>
      <w:r w:rsidRPr="00BD2915">
        <w:t>Soltepec</w:t>
      </w:r>
      <w:proofErr w:type="spellEnd"/>
      <w:r w:rsidRPr="00BD2915">
        <w:t xml:space="preserve">, estructura sedimentaria calcárea, fuertemente plegada y </w:t>
      </w:r>
      <w:proofErr w:type="spellStart"/>
      <w:r w:rsidRPr="00BD2915">
        <w:t>afallada</w:t>
      </w:r>
      <w:proofErr w:type="spellEnd"/>
      <w:r w:rsidRPr="00BD2915">
        <w:t>, que ha desarrollado cerros redondeados con drenaje moderado y cauces convexos, poco profundos.</w:t>
      </w:r>
    </w:p>
    <w:p w:rsidR="00B104EA" w:rsidRPr="00BD2915" w:rsidRDefault="00B104EA" w:rsidP="00B104EA">
      <w:r w:rsidRPr="00BD2915">
        <w:t>Hacia el centro de la cuenca, se ostenta una extensa planicie de origen lacustre, donde sobresalen algunos cerros y sierras aisladas de procedencia volcánica y sedimentaria, así como vestigios de antiguas y extensas zonas lacustres. Por su parte, las estructuras volcánicas manifiestan la fase final del volcanismo basáltico-</w:t>
      </w:r>
      <w:proofErr w:type="spellStart"/>
      <w:r w:rsidRPr="00BD2915">
        <w:t>andesítico</w:t>
      </w:r>
      <w:proofErr w:type="spellEnd"/>
      <w:r w:rsidRPr="00BD2915">
        <w:t xml:space="preserve"> alimentado por agua subterránea. Asimismo, se presentan cerros con pendientes abruptas y cráteres amplios y extensos (</w:t>
      </w:r>
      <w:proofErr w:type="spellStart"/>
      <w:r w:rsidRPr="00BD2915">
        <w:t>maares</w:t>
      </w:r>
      <w:proofErr w:type="spellEnd"/>
      <w:r w:rsidRPr="00BD2915">
        <w:t>).</w:t>
      </w:r>
    </w:p>
    <w:p w:rsidR="00B104EA" w:rsidRPr="00BD2915" w:rsidRDefault="00B104EA" w:rsidP="00B104EA">
      <w:pPr>
        <w:pStyle w:val="Ttulo4"/>
      </w:pPr>
      <w:bookmarkStart w:id="81" w:name="_Toc245123228"/>
      <w:bookmarkStart w:id="82" w:name="_Toc256703614"/>
      <w:bookmarkStart w:id="83" w:name="_Toc259787073"/>
      <w:bookmarkStart w:id="84" w:name="_Toc283886454"/>
      <w:r w:rsidRPr="00BD2915">
        <w:t>Geología regional</w:t>
      </w:r>
      <w:bookmarkEnd w:id="81"/>
      <w:bookmarkEnd w:id="82"/>
      <w:bookmarkEnd w:id="83"/>
      <w:bookmarkEnd w:id="84"/>
    </w:p>
    <w:p w:rsidR="00B104EA" w:rsidRPr="00BD2915" w:rsidRDefault="00B104EA" w:rsidP="00B104EA">
      <w:r w:rsidRPr="00BD2915">
        <w:t xml:space="preserve">La región de estudio se encuentra dentro del Terreno </w:t>
      </w:r>
      <w:proofErr w:type="spellStart"/>
      <w:r w:rsidRPr="00BD2915">
        <w:t>Tectonoestratigráfico</w:t>
      </w:r>
      <w:proofErr w:type="spellEnd"/>
      <w:r w:rsidRPr="00BD2915">
        <w:t xml:space="preserve"> Maya, con una cobertura correspondiente a dos cuencas Mesozoicas -Sierra Madre Oriental y Zongolica-</w:t>
      </w:r>
      <w:r w:rsidR="00F365F9">
        <w:t xml:space="preserve">, y dos Terciarias Tampico - </w:t>
      </w:r>
      <w:proofErr w:type="spellStart"/>
      <w:r w:rsidR="00F365F9">
        <w:t>Mi</w:t>
      </w:r>
      <w:r w:rsidRPr="00BD2915">
        <w:t>antla</w:t>
      </w:r>
      <w:proofErr w:type="spellEnd"/>
      <w:r w:rsidRPr="00BD2915">
        <w:t xml:space="preserve"> y Veracruz-.</w:t>
      </w:r>
    </w:p>
    <w:p w:rsidR="00A12466" w:rsidRPr="00BD2915" w:rsidRDefault="00A12466" w:rsidP="00A12466">
      <w:pPr>
        <w:pStyle w:val="figura1cap5"/>
      </w:pPr>
      <w:bookmarkStart w:id="85" w:name="_Toc256703581"/>
      <w:bookmarkStart w:id="86" w:name="_Toc259787190"/>
      <w:r w:rsidRPr="00BD2915">
        <w:t>Plano litológico de la zona de estudio</w:t>
      </w:r>
      <w:bookmarkEnd w:id="85"/>
      <w:bookmarkEnd w:id="86"/>
    </w:p>
    <w:p w:rsidR="00A12466" w:rsidRPr="00BD2915" w:rsidRDefault="00A12466" w:rsidP="00F365F9">
      <w:pPr>
        <w:ind w:firstLine="0"/>
        <w:jc w:val="center"/>
      </w:pPr>
      <w:r>
        <w:rPr>
          <w:noProof/>
          <w:lang w:eastAsia="es-MX"/>
        </w:rPr>
        <w:drawing>
          <wp:inline distT="0" distB="0" distL="0" distR="0">
            <wp:extent cx="4243912" cy="3184578"/>
            <wp:effectExtent l="19050" t="0" r="4238" b="0"/>
            <wp:docPr id="16" name="Imagen 7" descr="litolo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litologia"/>
                    <pic:cNvPicPr>
                      <a:picLocks noChangeAspect="1" noChangeArrowheads="1"/>
                    </pic:cNvPicPr>
                  </pic:nvPicPr>
                  <pic:blipFill>
                    <a:blip r:embed="rId44" cstate="print"/>
                    <a:srcRect/>
                    <a:stretch>
                      <a:fillRect/>
                    </a:stretch>
                  </pic:blipFill>
                  <pic:spPr bwMode="auto">
                    <a:xfrm>
                      <a:off x="0" y="0"/>
                      <a:ext cx="4250036" cy="3189173"/>
                    </a:xfrm>
                    <a:prstGeom prst="rect">
                      <a:avLst/>
                    </a:prstGeom>
                    <a:noFill/>
                    <a:ln w="9525">
                      <a:noFill/>
                      <a:miter lim="800000"/>
                      <a:headEnd/>
                      <a:tailEnd/>
                    </a:ln>
                  </pic:spPr>
                </pic:pic>
              </a:graphicData>
            </a:graphic>
          </wp:inline>
        </w:drawing>
      </w:r>
    </w:p>
    <w:p w:rsidR="00B104EA" w:rsidRPr="00BD2915" w:rsidRDefault="00B104EA" w:rsidP="00B104EA">
      <w:r w:rsidRPr="00BD2915">
        <w:lastRenderedPageBreak/>
        <w:t xml:space="preserve">El basamento del terreno Maya está constituido por el Macizo de Teziutlán que consta de esquistos de </w:t>
      </w:r>
      <w:proofErr w:type="spellStart"/>
      <w:r w:rsidRPr="00BD2915">
        <w:t>muscovita</w:t>
      </w:r>
      <w:proofErr w:type="spellEnd"/>
      <w:r w:rsidRPr="00BD2915">
        <w:t xml:space="preserve">, filitas, cuarcitas y </w:t>
      </w:r>
      <w:proofErr w:type="spellStart"/>
      <w:r w:rsidRPr="00BD2915">
        <w:t>metalavas</w:t>
      </w:r>
      <w:proofErr w:type="spellEnd"/>
      <w:r w:rsidRPr="00BD2915">
        <w:t xml:space="preserve"> con edades de K/Ar de 269 +/- 22 </w:t>
      </w:r>
      <w:proofErr w:type="spellStart"/>
      <w:r w:rsidRPr="00BD2915">
        <w:t>Ma</w:t>
      </w:r>
      <w:proofErr w:type="spellEnd"/>
      <w:r w:rsidRPr="00BD2915">
        <w:t xml:space="preserve">, considerándose que el último evento térmico es de aproximadamente 280 </w:t>
      </w:r>
      <w:proofErr w:type="spellStart"/>
      <w:r w:rsidRPr="00BD2915">
        <w:t>Ma</w:t>
      </w:r>
      <w:proofErr w:type="spellEnd"/>
      <w:r w:rsidRPr="00BD2915">
        <w:t xml:space="preserve">, Por otra parte, afloran rocas de composición granítica y </w:t>
      </w:r>
      <w:proofErr w:type="spellStart"/>
      <w:r w:rsidRPr="00BD2915">
        <w:t>granodiorítica</w:t>
      </w:r>
      <w:proofErr w:type="spellEnd"/>
      <w:r w:rsidRPr="00BD2915">
        <w:t xml:space="preserve"> con edades de 246 +/- 7 </w:t>
      </w:r>
      <w:proofErr w:type="spellStart"/>
      <w:r w:rsidRPr="00BD2915">
        <w:t>Ma</w:t>
      </w:r>
      <w:proofErr w:type="spellEnd"/>
      <w:r w:rsidRPr="00BD2915">
        <w:t xml:space="preserve"> y 252 +/- 20 Ma. </w:t>
      </w:r>
    </w:p>
    <w:p w:rsidR="00B104EA" w:rsidRPr="00BD2915" w:rsidRDefault="00B104EA" w:rsidP="00B104EA">
      <w:pPr>
        <w:pStyle w:val="Ttulo4"/>
      </w:pPr>
      <w:bookmarkStart w:id="87" w:name="_Toc245123229"/>
      <w:bookmarkStart w:id="88" w:name="_Toc256703615"/>
      <w:bookmarkStart w:id="89" w:name="_Toc259787074"/>
      <w:bookmarkStart w:id="90" w:name="_Toc283886455"/>
      <w:r w:rsidRPr="00BD2915">
        <w:t>Estratigrafía</w:t>
      </w:r>
      <w:bookmarkEnd w:id="87"/>
      <w:bookmarkEnd w:id="88"/>
      <w:bookmarkEnd w:id="89"/>
      <w:bookmarkEnd w:id="90"/>
    </w:p>
    <w:p w:rsidR="00B104EA" w:rsidRPr="00BD2915" w:rsidRDefault="00B104EA" w:rsidP="00B104EA">
      <w:r w:rsidRPr="00BD2915">
        <w:t>Con el fin de evaluar la consecución de eventos geológicos en la región, se describe la estratigrafía de manera cronológica, a partir del Mesozoico.</w:t>
      </w:r>
    </w:p>
    <w:p w:rsidR="00B104EA" w:rsidRPr="00BD2915" w:rsidRDefault="00B104EA" w:rsidP="00101EA0">
      <w:pPr>
        <w:pStyle w:val="figura1cap5"/>
      </w:pPr>
      <w:bookmarkStart w:id="91" w:name="_Toc256703580"/>
      <w:bookmarkStart w:id="92" w:name="_Toc259787189"/>
      <w:r w:rsidRPr="00BD2915">
        <w:t>Columna geológico estratigráfica para la región de estudio</w:t>
      </w:r>
      <w:bookmarkEnd w:id="91"/>
      <w:bookmarkEnd w:id="92"/>
    </w:p>
    <w:p w:rsidR="00B104EA" w:rsidRPr="00BD2915" w:rsidRDefault="008011C2" w:rsidP="00B104EA">
      <w:pPr>
        <w:ind w:firstLine="0"/>
        <w:jc w:val="center"/>
      </w:pPr>
      <w:r>
        <w:rPr>
          <w:noProof/>
          <w:lang w:eastAsia="es-MX"/>
        </w:rPr>
        <w:drawing>
          <wp:inline distT="0" distB="0" distL="0" distR="0">
            <wp:extent cx="1977206" cy="2216867"/>
            <wp:effectExtent l="19050" t="0" r="3994" b="0"/>
            <wp:docPr id="3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45" cstate="print"/>
                    <a:srcRect/>
                    <a:stretch>
                      <a:fillRect/>
                    </a:stretch>
                  </pic:blipFill>
                  <pic:spPr bwMode="auto">
                    <a:xfrm>
                      <a:off x="0" y="0"/>
                      <a:ext cx="1983682" cy="2224128"/>
                    </a:xfrm>
                    <a:prstGeom prst="rect">
                      <a:avLst/>
                    </a:prstGeom>
                    <a:noFill/>
                    <a:ln w="9525">
                      <a:noFill/>
                      <a:miter lim="800000"/>
                      <a:headEnd/>
                      <a:tailEnd/>
                    </a:ln>
                  </pic:spPr>
                </pic:pic>
              </a:graphicData>
            </a:graphic>
          </wp:inline>
        </w:drawing>
      </w:r>
      <w:r w:rsidR="00B104EA" w:rsidRPr="00BD2915">
        <w:t xml:space="preserve"> </w:t>
      </w:r>
    </w:p>
    <w:p w:rsidR="00B104EA" w:rsidRPr="00BD2915" w:rsidRDefault="008011C2" w:rsidP="00B104EA">
      <w:pPr>
        <w:ind w:firstLine="0"/>
        <w:jc w:val="center"/>
      </w:pPr>
      <w:r>
        <w:rPr>
          <w:noProof/>
          <w:lang w:eastAsia="es-MX"/>
        </w:rPr>
        <w:drawing>
          <wp:inline distT="0" distB="0" distL="0" distR="0">
            <wp:extent cx="2031531" cy="3026980"/>
            <wp:effectExtent l="19050" t="0" r="6819" b="0"/>
            <wp:docPr id="3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46" cstate="print"/>
                    <a:srcRect/>
                    <a:stretch>
                      <a:fillRect/>
                    </a:stretch>
                  </pic:blipFill>
                  <pic:spPr bwMode="auto">
                    <a:xfrm>
                      <a:off x="0" y="0"/>
                      <a:ext cx="2040086" cy="3039727"/>
                    </a:xfrm>
                    <a:prstGeom prst="rect">
                      <a:avLst/>
                    </a:prstGeom>
                    <a:noFill/>
                    <a:ln w="9525">
                      <a:noFill/>
                      <a:miter lim="800000"/>
                      <a:headEnd/>
                      <a:tailEnd/>
                    </a:ln>
                  </pic:spPr>
                </pic:pic>
              </a:graphicData>
            </a:graphic>
          </wp:inline>
        </w:drawing>
      </w:r>
    </w:p>
    <w:p w:rsidR="00B104EA" w:rsidRPr="00BD2915" w:rsidRDefault="00B104EA" w:rsidP="00B104EA"/>
    <w:p w:rsidR="00B104EA" w:rsidRPr="00BD2915" w:rsidRDefault="00B104EA" w:rsidP="00B104EA">
      <w:pPr>
        <w:pStyle w:val="Ttulo4"/>
      </w:pPr>
      <w:bookmarkStart w:id="93" w:name="_Toc245123230"/>
      <w:bookmarkStart w:id="94" w:name="_Toc256703616"/>
      <w:bookmarkStart w:id="95" w:name="_Toc259787075"/>
      <w:bookmarkStart w:id="96" w:name="_Toc283886456"/>
      <w:r w:rsidRPr="00BD2915">
        <w:lastRenderedPageBreak/>
        <w:t>Geológica estructural</w:t>
      </w:r>
      <w:bookmarkEnd w:id="93"/>
      <w:bookmarkEnd w:id="94"/>
      <w:bookmarkEnd w:id="95"/>
      <w:bookmarkEnd w:id="96"/>
      <w:r w:rsidRPr="00BD2915">
        <w:t xml:space="preserve"> </w:t>
      </w:r>
    </w:p>
    <w:p w:rsidR="00B104EA" w:rsidRPr="00BD2915" w:rsidRDefault="00B104EA" w:rsidP="00B104EA">
      <w:r w:rsidRPr="00BD2915">
        <w:t xml:space="preserve">La zona muestra una compleja geología estructural, debido a los procesos tectónicos acaecidos en la región y representada por plegamientos y </w:t>
      </w:r>
      <w:proofErr w:type="spellStart"/>
      <w:r w:rsidRPr="00BD2915">
        <w:t>fallamientos</w:t>
      </w:r>
      <w:proofErr w:type="spellEnd"/>
      <w:r w:rsidRPr="00BD2915">
        <w:t>.</w:t>
      </w:r>
    </w:p>
    <w:p w:rsidR="00B104EA" w:rsidRPr="00BD2915" w:rsidRDefault="00B104EA" w:rsidP="00B104EA">
      <w:r w:rsidRPr="00BD2915">
        <w:t>De acuerdo a Garduño, la zona se encuentra en una fosa con dirección aproximada norte-sur, conocida como “Graben de Libres-Oriental”, que limita al norte con el macizo de Teziutlán, al sur con la sierra de Cuesta Blanca, al oriente con el sistema de fallas que cortan la parte occidental de la cadena volcánica formada por el Cofre de Perote y el Pico de Orizaba, y al poniente, con La Malinche y la sierra calco-terrígena representada por la Sierra Madre Oriental.</w:t>
      </w:r>
    </w:p>
    <w:p w:rsidR="00B104EA" w:rsidRPr="00AD31A5" w:rsidRDefault="00B104EA" w:rsidP="00B104EA">
      <w:r w:rsidRPr="00AD31A5">
        <w:t>Para este caso, se</w:t>
      </w:r>
      <w:r w:rsidR="00AD31A5" w:rsidRPr="00AD31A5">
        <w:t xml:space="preserve"> nombraron, según su ubicación: Falla “Libres”; </w:t>
      </w:r>
      <w:proofErr w:type="spellStart"/>
      <w:r w:rsidR="00AD31A5" w:rsidRPr="00AD31A5">
        <w:t>Citlaltepetl</w:t>
      </w:r>
      <w:proofErr w:type="spellEnd"/>
      <w:r w:rsidR="00AD31A5" w:rsidRPr="00AD31A5">
        <w:t xml:space="preserve">-Cofre de Perote; </w:t>
      </w:r>
      <w:proofErr w:type="spellStart"/>
      <w:r w:rsidR="00AD31A5" w:rsidRPr="00AD31A5">
        <w:t>Tlalconteno</w:t>
      </w:r>
      <w:proofErr w:type="spellEnd"/>
      <w:r w:rsidR="00AD31A5" w:rsidRPr="00AD31A5">
        <w:t xml:space="preserve">; </w:t>
      </w:r>
      <w:proofErr w:type="spellStart"/>
      <w:r w:rsidR="00AD31A5" w:rsidRPr="00AD31A5">
        <w:t>Xalapasco</w:t>
      </w:r>
      <w:proofErr w:type="spellEnd"/>
      <w:r w:rsidR="00AD31A5" w:rsidRPr="00AD31A5">
        <w:t xml:space="preserve">; </w:t>
      </w:r>
      <w:proofErr w:type="spellStart"/>
      <w:r w:rsidR="00AD31A5" w:rsidRPr="00AD31A5">
        <w:t>Coatepec</w:t>
      </w:r>
      <w:proofErr w:type="spellEnd"/>
      <w:r w:rsidR="00AD31A5" w:rsidRPr="00AD31A5">
        <w:t xml:space="preserve">; </w:t>
      </w:r>
      <w:proofErr w:type="spellStart"/>
      <w:r w:rsidRPr="00AD31A5">
        <w:t>Soltepec</w:t>
      </w:r>
      <w:proofErr w:type="spellEnd"/>
      <w:r w:rsidR="00AD31A5" w:rsidRPr="00AD31A5">
        <w:t xml:space="preserve">; Desplazamiento </w:t>
      </w:r>
      <w:proofErr w:type="spellStart"/>
      <w:r w:rsidR="00AD31A5" w:rsidRPr="00AD31A5">
        <w:t>Soltepec</w:t>
      </w:r>
      <w:proofErr w:type="spellEnd"/>
      <w:r w:rsidR="00AD31A5" w:rsidRPr="00AD31A5">
        <w:t xml:space="preserve">. Otras </w:t>
      </w:r>
      <w:r w:rsidR="00C04BDB" w:rsidRPr="00AD31A5">
        <w:t>estructuras</w:t>
      </w:r>
      <w:r w:rsidR="00AD31A5" w:rsidRPr="00AD31A5">
        <w:t xml:space="preserve"> sobresalientes son las siguientes: Caldera de Libres y </w:t>
      </w:r>
      <w:r w:rsidRPr="00AD31A5">
        <w:t>Caldera de Los Humeros.</w:t>
      </w:r>
    </w:p>
    <w:p w:rsidR="00565FAF" w:rsidRDefault="00565FAF" w:rsidP="008D35B9">
      <w:pPr>
        <w:pStyle w:val="Ttulo3"/>
      </w:pPr>
      <w:r>
        <w:tab/>
      </w:r>
      <w:bookmarkStart w:id="97" w:name="_Toc283886457"/>
      <w:r>
        <w:t>Unidades geohidrológicas</w:t>
      </w:r>
      <w:bookmarkEnd w:id="97"/>
    </w:p>
    <w:p w:rsidR="00722911" w:rsidRPr="00BD2915" w:rsidRDefault="00722911" w:rsidP="00722911">
      <w:r w:rsidRPr="00BD2915">
        <w:t>El comportamiento hidrogeológico y las características hidráulicas de las rocas dependen de su litología, estructura y la tectónica de la región. Para s</w:t>
      </w:r>
      <w:r w:rsidR="00C04BDB">
        <w:t>u estudio, se clasificaron en s</w:t>
      </w:r>
      <w:r w:rsidRPr="00BD2915">
        <w:t>e</w:t>
      </w:r>
      <w:r w:rsidR="00C04BDB">
        <w:t>i</w:t>
      </w:r>
      <w:r w:rsidRPr="00BD2915">
        <w:t>s unidades hidrogeológicas, atendiendo a su litología y características hidrodinámicas.</w:t>
      </w:r>
    </w:p>
    <w:p w:rsidR="00722911" w:rsidRPr="00BD2915" w:rsidRDefault="00722911" w:rsidP="008011C2">
      <w:pPr>
        <w:outlineLvl w:val="0"/>
        <w:rPr>
          <w:b/>
        </w:rPr>
      </w:pPr>
      <w:r w:rsidRPr="00BD2915">
        <w:rPr>
          <w:b/>
        </w:rPr>
        <w:t xml:space="preserve">Unidad 1. </w:t>
      </w:r>
      <w:proofErr w:type="spellStart"/>
      <w:r w:rsidRPr="00BD2915">
        <w:rPr>
          <w:b/>
        </w:rPr>
        <w:t>Acuitardo</w:t>
      </w:r>
      <w:proofErr w:type="spellEnd"/>
      <w:r w:rsidRPr="00BD2915">
        <w:rPr>
          <w:b/>
        </w:rPr>
        <w:t xml:space="preserve"> superior en sedimentos lacustres</w:t>
      </w:r>
    </w:p>
    <w:p w:rsidR="00722911" w:rsidRPr="00BD2915" w:rsidRDefault="00722911" w:rsidP="00722911">
      <w:r w:rsidRPr="00BD2915">
        <w:t xml:space="preserve">Se engloban en esta unidad, los depósitos lacustres, con bajas posibilidades acuíferas localizados básicamente por debajo de los lagos de El Carmen y El Salado. El espesor de esta formación puede alcanzar los 20 m de espesor. Aluvión de grano fino -limos y arcillas- predomina en las partes bajas de la cuenca, donde convergen con los lagos Totolcingo y Tepeyahualco. Los estratos de estos materiales,  intervienen como </w:t>
      </w:r>
      <w:proofErr w:type="spellStart"/>
      <w:r w:rsidRPr="00BD2915">
        <w:t>acuitardos</w:t>
      </w:r>
      <w:proofErr w:type="spellEnd"/>
      <w:r w:rsidRPr="00BD2915">
        <w:t>, que almacenan importantes cantidades de agua, frecuentemente salobre.</w:t>
      </w:r>
    </w:p>
    <w:p w:rsidR="00722911" w:rsidRPr="00BD2915" w:rsidRDefault="00722911" w:rsidP="00722911">
      <w:pPr>
        <w:rPr>
          <w:b/>
        </w:rPr>
      </w:pPr>
      <w:r w:rsidRPr="00BD2915">
        <w:rPr>
          <w:b/>
        </w:rPr>
        <w:t xml:space="preserve">Unidad 2. Acuífero libre a </w:t>
      </w:r>
      <w:proofErr w:type="spellStart"/>
      <w:r w:rsidRPr="00BD2915">
        <w:rPr>
          <w:b/>
        </w:rPr>
        <w:t>semiconfinado</w:t>
      </w:r>
      <w:proofErr w:type="spellEnd"/>
      <w:r w:rsidRPr="00BD2915">
        <w:rPr>
          <w:b/>
        </w:rPr>
        <w:t xml:space="preserve"> y/o zona de recarga en tobas, </w:t>
      </w:r>
      <w:proofErr w:type="spellStart"/>
      <w:r w:rsidRPr="00BD2915">
        <w:rPr>
          <w:b/>
        </w:rPr>
        <w:t>lahares</w:t>
      </w:r>
      <w:proofErr w:type="spellEnd"/>
      <w:r w:rsidRPr="00BD2915">
        <w:rPr>
          <w:b/>
        </w:rPr>
        <w:t xml:space="preserve"> y </w:t>
      </w:r>
      <w:proofErr w:type="spellStart"/>
      <w:r w:rsidRPr="00BD2915">
        <w:rPr>
          <w:b/>
        </w:rPr>
        <w:t>piroclastos</w:t>
      </w:r>
      <w:proofErr w:type="spellEnd"/>
    </w:p>
    <w:p w:rsidR="00722911" w:rsidRPr="00BD2915" w:rsidRDefault="00722911" w:rsidP="00722911">
      <w:r w:rsidRPr="00BD2915">
        <w:t xml:space="preserve">El comportamiento y las características de las rocas no consolidadas dependen, principalmente, de su granulometría y grado de compactación. Los depósitos aluviales de grano grueso a medio, predominan en el subsuelo de la zona de estudio, los cuales, por tener alta capacidad de infiltración, son excelentes receptores de recarga. En la zona de saturación regional, constituyen un gran acuífero de </w:t>
      </w:r>
      <w:proofErr w:type="spellStart"/>
      <w:r w:rsidRPr="00BD2915">
        <w:t>transmisividad</w:t>
      </w:r>
      <w:proofErr w:type="spellEnd"/>
      <w:r w:rsidRPr="00BD2915">
        <w:t xml:space="preserve"> media a alta. </w:t>
      </w:r>
    </w:p>
    <w:p w:rsidR="00722911" w:rsidRPr="00BD2915" w:rsidRDefault="00722911" w:rsidP="00722911">
      <w:r w:rsidRPr="00BD2915">
        <w:t xml:space="preserve">Desde el punto de vista hidráulico, este acuífero se comporta como “libre”, aunque, localmente, puede estar </w:t>
      </w:r>
      <w:proofErr w:type="spellStart"/>
      <w:r w:rsidRPr="00BD2915">
        <w:t>semiconfinado</w:t>
      </w:r>
      <w:proofErr w:type="spellEnd"/>
      <w:r w:rsidRPr="00BD2915">
        <w:t xml:space="preserve"> por lentes de materiales arcillosos; posiblemente, su coeficiente de almacenamiento (numéricamente equivalente a su rendimiento específico) toma valores dentro del rango de 0.15 a 0.3.</w:t>
      </w:r>
    </w:p>
    <w:p w:rsidR="00722911" w:rsidRPr="00BD2915" w:rsidRDefault="00722911" w:rsidP="00722911">
      <w:r w:rsidRPr="00BD2915">
        <w:t>En general, la permeabilidad de los depósitos no consolidados decrece conforme aumenta la profundidad, a causa de la compactación originada por su peso propio.</w:t>
      </w:r>
    </w:p>
    <w:p w:rsidR="00722911" w:rsidRPr="00BD2915" w:rsidRDefault="00722911" w:rsidP="00722911">
      <w:r w:rsidRPr="00BD2915">
        <w:t>Se cree que abajo de los 300-400 m, la permeabilidad de estos depósitos, ya no es favorable para la captación económica del agua.</w:t>
      </w:r>
    </w:p>
    <w:p w:rsidR="00722911" w:rsidRPr="00BD2915" w:rsidRDefault="00722911" w:rsidP="008011C2">
      <w:pPr>
        <w:outlineLvl w:val="0"/>
        <w:rPr>
          <w:b/>
        </w:rPr>
      </w:pPr>
      <w:r w:rsidRPr="00BD2915">
        <w:rPr>
          <w:b/>
        </w:rPr>
        <w:lastRenderedPageBreak/>
        <w:t>Unidad 3. Unidad acuífera no confinada y/o zona de recarga en vulcanitas.</w:t>
      </w:r>
    </w:p>
    <w:p w:rsidR="00722911" w:rsidRPr="00BD2915" w:rsidRDefault="00722911" w:rsidP="00722911">
      <w:r w:rsidRPr="00BD2915">
        <w:t xml:space="preserve">En las sierras de </w:t>
      </w:r>
      <w:proofErr w:type="spellStart"/>
      <w:r w:rsidRPr="00BD2915">
        <w:t>Tlaxco</w:t>
      </w:r>
      <w:proofErr w:type="spellEnd"/>
      <w:r w:rsidRPr="00BD2915">
        <w:t xml:space="preserve"> y </w:t>
      </w:r>
      <w:proofErr w:type="spellStart"/>
      <w:r w:rsidRPr="00BD2915">
        <w:t>Citlaltepetl</w:t>
      </w:r>
      <w:proofErr w:type="spellEnd"/>
      <w:r w:rsidRPr="00BD2915">
        <w:t xml:space="preserve">, así como en el volcán de La Malinche, alrededor de la cuenca en materia, están contenidas las rocas volcánicas que constituyen a las Formaciones </w:t>
      </w:r>
      <w:proofErr w:type="spellStart"/>
      <w:r w:rsidRPr="00BD2915">
        <w:t>Teziutlan</w:t>
      </w:r>
      <w:proofErr w:type="spellEnd"/>
      <w:r w:rsidRPr="00BD2915">
        <w:t xml:space="preserve"> y </w:t>
      </w:r>
      <w:proofErr w:type="spellStart"/>
      <w:r w:rsidRPr="00BD2915">
        <w:t>Temastepec</w:t>
      </w:r>
      <w:proofErr w:type="spellEnd"/>
      <w:r w:rsidRPr="00BD2915">
        <w:t xml:space="preserve"> y los </w:t>
      </w:r>
      <w:proofErr w:type="spellStart"/>
      <w:r w:rsidRPr="00BD2915">
        <w:t>piroclastos</w:t>
      </w:r>
      <w:proofErr w:type="spellEnd"/>
      <w:r w:rsidRPr="00BD2915">
        <w:t xml:space="preserve"> poco compactados del Cuaternario (Pleistoceno). Todas ellas son permeables por su </w:t>
      </w:r>
      <w:proofErr w:type="spellStart"/>
      <w:r w:rsidRPr="00BD2915">
        <w:t>fracturamiento</w:t>
      </w:r>
      <w:proofErr w:type="spellEnd"/>
      <w:r w:rsidRPr="00BD2915">
        <w:t xml:space="preserve"> y operan como receptoras y transmisoras del agua que escurre a través de ellas. </w:t>
      </w:r>
    </w:p>
    <w:p w:rsidR="00722911" w:rsidRPr="00BD2915" w:rsidRDefault="00722911" w:rsidP="008011C2">
      <w:pPr>
        <w:outlineLvl w:val="0"/>
        <w:rPr>
          <w:b/>
        </w:rPr>
      </w:pPr>
      <w:r w:rsidRPr="00BD2915">
        <w:rPr>
          <w:b/>
        </w:rPr>
        <w:t xml:space="preserve">Unidad 4. </w:t>
      </w:r>
      <w:proofErr w:type="spellStart"/>
      <w:r w:rsidRPr="00BD2915">
        <w:rPr>
          <w:b/>
        </w:rPr>
        <w:t>Acuifugo</w:t>
      </w:r>
      <w:proofErr w:type="spellEnd"/>
      <w:r w:rsidRPr="00BD2915">
        <w:rPr>
          <w:b/>
        </w:rPr>
        <w:t xml:space="preserve"> en rocas ígneas intrusivas.</w:t>
      </w:r>
    </w:p>
    <w:p w:rsidR="00722911" w:rsidRPr="00BD2915" w:rsidRDefault="00722911" w:rsidP="00722911">
      <w:r w:rsidRPr="00BD2915">
        <w:t xml:space="preserve">Esta unidad se localiza en la parte central del acuífero, al poniente y sur de la laguna El salado y está constituido por dioritas, las cuales muestran poco intemperismo y </w:t>
      </w:r>
      <w:proofErr w:type="spellStart"/>
      <w:r w:rsidRPr="00BD2915">
        <w:t>fracturamiento</w:t>
      </w:r>
      <w:proofErr w:type="spellEnd"/>
      <w:r w:rsidRPr="00BD2915">
        <w:t xml:space="preserve"> por lo cual no pueden almacenar agua.</w:t>
      </w:r>
    </w:p>
    <w:p w:rsidR="00722911" w:rsidRDefault="00722911" w:rsidP="00722911">
      <w:pPr>
        <w:pStyle w:val="figura1cap5"/>
      </w:pPr>
      <w:r>
        <w:t>Plano hidrogeológico</w:t>
      </w:r>
    </w:p>
    <w:p w:rsidR="00722911" w:rsidRDefault="008011C2" w:rsidP="00F365F9">
      <w:pPr>
        <w:jc w:val="center"/>
        <w:rPr>
          <w:noProof/>
          <w:lang w:eastAsia="es-MX"/>
        </w:rPr>
      </w:pPr>
      <w:r>
        <w:rPr>
          <w:noProof/>
          <w:lang w:eastAsia="es-MX"/>
        </w:rPr>
        <w:drawing>
          <wp:inline distT="0" distB="0" distL="0" distR="0">
            <wp:extent cx="5438097" cy="4080680"/>
            <wp:effectExtent l="19050" t="0" r="0" b="0"/>
            <wp:docPr id="33" name="Imagen 8" descr="plano_hidro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plano_hidrogeo"/>
                    <pic:cNvPicPr>
                      <a:picLocks noChangeAspect="1" noChangeArrowheads="1"/>
                    </pic:cNvPicPr>
                  </pic:nvPicPr>
                  <pic:blipFill>
                    <a:blip r:embed="rId47" cstate="print"/>
                    <a:srcRect/>
                    <a:stretch>
                      <a:fillRect/>
                    </a:stretch>
                  </pic:blipFill>
                  <pic:spPr bwMode="auto">
                    <a:xfrm>
                      <a:off x="0" y="0"/>
                      <a:ext cx="5436376" cy="4079389"/>
                    </a:xfrm>
                    <a:prstGeom prst="rect">
                      <a:avLst/>
                    </a:prstGeom>
                    <a:noFill/>
                    <a:ln w="9525">
                      <a:noFill/>
                      <a:miter lim="800000"/>
                      <a:headEnd/>
                      <a:tailEnd/>
                    </a:ln>
                  </pic:spPr>
                </pic:pic>
              </a:graphicData>
            </a:graphic>
          </wp:inline>
        </w:drawing>
      </w:r>
    </w:p>
    <w:p w:rsidR="00F365F9" w:rsidRPr="00BD2915" w:rsidRDefault="00F365F9" w:rsidP="00F365F9">
      <w:pPr>
        <w:outlineLvl w:val="0"/>
        <w:rPr>
          <w:b/>
        </w:rPr>
      </w:pPr>
      <w:r w:rsidRPr="00BD2915">
        <w:rPr>
          <w:b/>
        </w:rPr>
        <w:t xml:space="preserve">Unidad 5. </w:t>
      </w:r>
      <w:proofErr w:type="spellStart"/>
      <w:r w:rsidRPr="00BD2915">
        <w:rPr>
          <w:b/>
        </w:rPr>
        <w:t>Acuitardo</w:t>
      </w:r>
      <w:proofErr w:type="spellEnd"/>
      <w:r w:rsidRPr="00BD2915">
        <w:rPr>
          <w:b/>
        </w:rPr>
        <w:t xml:space="preserve"> inferior en calizas y margas con intercalaciones de lutitas</w:t>
      </w:r>
    </w:p>
    <w:p w:rsidR="00F365F9" w:rsidRDefault="00F365F9" w:rsidP="00F365F9">
      <w:r w:rsidRPr="00BD2915">
        <w:t xml:space="preserve">Las rocas sedimentarias son prácticamente impermeables, por su estructura masiva y la profundidad a la que se encuentran -Formaciones Maltrata, Agua Nueva, San Felipe, </w:t>
      </w:r>
      <w:proofErr w:type="spellStart"/>
      <w:r w:rsidRPr="00BD2915">
        <w:t>Mexcala</w:t>
      </w:r>
      <w:proofErr w:type="spellEnd"/>
      <w:r w:rsidRPr="00BD2915">
        <w:t xml:space="preserve"> y Tamaulipas Inferior-, relacionadas con coeficientes de </w:t>
      </w:r>
      <w:proofErr w:type="spellStart"/>
      <w:r w:rsidRPr="00BD2915">
        <w:t>transmisividad</w:t>
      </w:r>
      <w:proofErr w:type="spellEnd"/>
      <w:r w:rsidRPr="00BD2915">
        <w:t xml:space="preserve"> de 0.0002 a 0.003 m</w:t>
      </w:r>
      <w:r w:rsidRPr="00BD2915">
        <w:rPr>
          <w:vertAlign w:val="superscript"/>
        </w:rPr>
        <w:t>2</w:t>
      </w:r>
      <w:r w:rsidRPr="00BD2915">
        <w:t>/</w:t>
      </w:r>
      <w:proofErr w:type="spellStart"/>
      <w:r w:rsidRPr="00BD2915">
        <w:t>seg</w:t>
      </w:r>
      <w:proofErr w:type="spellEnd"/>
      <w:r w:rsidRPr="00BD2915">
        <w:t xml:space="preserve">,  las cuales funcionan como </w:t>
      </w:r>
      <w:proofErr w:type="spellStart"/>
      <w:r w:rsidRPr="00BD2915">
        <w:t>acuitardos</w:t>
      </w:r>
      <w:proofErr w:type="spellEnd"/>
      <w:r w:rsidRPr="00BD2915">
        <w:t xml:space="preserve"> o </w:t>
      </w:r>
      <w:proofErr w:type="spellStart"/>
      <w:r w:rsidRPr="00BD2915">
        <w:t>acuifugos</w:t>
      </w:r>
      <w:proofErr w:type="spellEnd"/>
      <w:r w:rsidRPr="00BD2915">
        <w:t xml:space="preserve"> y como el basamento geohidrológico de la zona. </w:t>
      </w:r>
    </w:p>
    <w:p w:rsidR="00F365F9" w:rsidRPr="00BD2915" w:rsidRDefault="00F365F9" w:rsidP="00F365F9"/>
    <w:p w:rsidR="00F365F9" w:rsidRPr="00BD2915" w:rsidRDefault="00F365F9" w:rsidP="00F365F9">
      <w:pPr>
        <w:outlineLvl w:val="0"/>
        <w:rPr>
          <w:b/>
        </w:rPr>
      </w:pPr>
      <w:r w:rsidRPr="00BD2915">
        <w:rPr>
          <w:b/>
        </w:rPr>
        <w:lastRenderedPageBreak/>
        <w:t>Unidad 6. Unidad acuífera profunda y/o zona de recarga en calizas</w:t>
      </w:r>
    </w:p>
    <w:p w:rsidR="00F365F9" w:rsidRDefault="00F365F9" w:rsidP="00F365F9">
      <w:r w:rsidRPr="00BD2915">
        <w:t xml:space="preserve">En ésta, se reúnen las Formaciones Orizaba, Tamaulipas Superior y </w:t>
      </w:r>
      <w:proofErr w:type="spellStart"/>
      <w:r w:rsidRPr="00BD2915">
        <w:t>Guzmantla</w:t>
      </w:r>
      <w:proofErr w:type="spellEnd"/>
      <w:r w:rsidRPr="00BD2915">
        <w:t xml:space="preserve">, de la secuencia sedimentaria del Cretácico. Por su denso </w:t>
      </w:r>
      <w:proofErr w:type="spellStart"/>
      <w:r w:rsidRPr="00BD2915">
        <w:t>fracturamiento</w:t>
      </w:r>
      <w:proofErr w:type="spellEnd"/>
      <w:r w:rsidRPr="00BD2915">
        <w:t xml:space="preserve">, funcionan como receptoras de recarga y transmiten el agua infiltrada hacia las partes bajas. Estas características estructurales determinan que el agua infiltrada circule a profundidad, en el macizo montañoso; sin embargo, en el caso en que la estructura sea  irregular y las fracturas se encuentran rellenas por sedimentos finos, el agua circula sobre las calizas, sin alimentar a éstas. </w:t>
      </w:r>
    </w:p>
    <w:p w:rsidR="00565FAF" w:rsidRDefault="00565FAF" w:rsidP="008D35B9">
      <w:pPr>
        <w:pStyle w:val="Ttulo3"/>
      </w:pPr>
      <w:r>
        <w:tab/>
      </w:r>
      <w:bookmarkStart w:id="98" w:name="_Toc283886458"/>
      <w:r>
        <w:t>Funcionamiento del sistema acuífero</w:t>
      </w:r>
      <w:bookmarkEnd w:id="98"/>
    </w:p>
    <w:p w:rsidR="00AD7421" w:rsidRDefault="00374B94" w:rsidP="00AD7421">
      <w:r>
        <w:t xml:space="preserve">El acuífero HLOP se encuentra en una cuenca de tipo endorreico, </w:t>
      </w:r>
      <w:r w:rsidR="00AD7421">
        <w:t xml:space="preserve">y aun cuando las lagunas de </w:t>
      </w:r>
      <w:r>
        <w:t>Totolcingo y Tepeyahualco</w:t>
      </w:r>
      <w:r w:rsidR="00AD7421">
        <w:t>, contribuyen con un sistema local de recarga en sus inmediaciones, en realidad se encuentran regionalmente ubicadas en zonas de descarga, hacia donde el flujo de aguas subterráneas se dirige, de manera que  como cuenca cerrada, la recarga proviene de las serranías, y sale del sistema a través de la evaporación lagunar.</w:t>
      </w:r>
      <w:r w:rsidR="00F92FDE">
        <w:t xml:space="preserve"> Este sistema en sí constituye una condición hidrológica que une los sistemas superficiales y subterráneos de la región, por lo que cualquier aprovechamiento superficial o subterráneo modifica el funcionamiento de las lagunas. </w:t>
      </w:r>
    </w:p>
    <w:p w:rsidR="00D92034" w:rsidRDefault="00D92034" w:rsidP="00D92034">
      <w:pPr>
        <w:pStyle w:val="figura1cap5"/>
      </w:pPr>
      <w:r>
        <w:t>Funcionamiento del sistema acuífero</w:t>
      </w:r>
      <w:r w:rsidR="0039370B">
        <w:t>, red de flujo en condiciones iniciales</w:t>
      </w:r>
    </w:p>
    <w:p w:rsidR="00AD7421" w:rsidRDefault="008011C2" w:rsidP="00AD7421">
      <w:pPr>
        <w:jc w:val="center"/>
      </w:pPr>
      <w:r>
        <w:rPr>
          <w:noProof/>
          <w:lang w:eastAsia="es-MX"/>
        </w:rPr>
        <w:drawing>
          <wp:inline distT="0" distB="0" distL="0" distR="0">
            <wp:extent cx="3990975" cy="3581400"/>
            <wp:effectExtent l="19050" t="0" r="0" b="0"/>
            <wp:docPr id="34" name="Imagen 1" descr="C:\Users\Juan Pablo\2 PLAN DE MANEJO\Modelo matemático\Figuras\FigCondIniYDireccion.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Juan Pablo\2 PLAN DE MANEJO\Modelo matemático\Figuras\FigCondIniYDireccion.emf"/>
                    <pic:cNvPicPr>
                      <a:picLocks noChangeAspect="1" noChangeArrowheads="1"/>
                    </pic:cNvPicPr>
                  </pic:nvPicPr>
                  <pic:blipFill>
                    <a:blip r:embed="rId48" cstate="print"/>
                    <a:srcRect/>
                    <a:stretch>
                      <a:fillRect/>
                    </a:stretch>
                  </pic:blipFill>
                  <pic:spPr bwMode="auto">
                    <a:xfrm>
                      <a:off x="0" y="0"/>
                      <a:ext cx="3990975" cy="3581400"/>
                    </a:xfrm>
                    <a:prstGeom prst="rect">
                      <a:avLst/>
                    </a:prstGeom>
                    <a:noFill/>
                    <a:ln w="9525">
                      <a:noFill/>
                      <a:miter lim="800000"/>
                      <a:headEnd/>
                      <a:tailEnd/>
                    </a:ln>
                  </pic:spPr>
                </pic:pic>
              </a:graphicData>
            </a:graphic>
          </wp:inline>
        </w:drawing>
      </w:r>
    </w:p>
    <w:p w:rsidR="00F92FDE" w:rsidRDefault="00F92FDE" w:rsidP="00F92FDE">
      <w:r>
        <w:t xml:space="preserve">La recarga natural del acuífero es originada, principalmente, por infiltración de la lluvia y del escurrimiento superficial. Las áreas receptoras más importantes se localizan en el volcán de La Malinche y en las sierras del </w:t>
      </w:r>
      <w:proofErr w:type="spellStart"/>
      <w:r>
        <w:t>Citlaltepetl</w:t>
      </w:r>
      <w:proofErr w:type="spellEnd"/>
      <w:r>
        <w:t xml:space="preserve"> y de Perote, donde la precipitación pluvial es mayor y hay extensos afloramientos de rocas fracturadas, y en los flancos montañosos (pie de monte) donde </w:t>
      </w:r>
      <w:r>
        <w:lastRenderedPageBreak/>
        <w:t xml:space="preserve">predominan los materiales aluviales y </w:t>
      </w:r>
      <w:proofErr w:type="spellStart"/>
      <w:r>
        <w:t>coluviales</w:t>
      </w:r>
      <w:proofErr w:type="spellEnd"/>
      <w:r>
        <w:t xml:space="preserve"> de grano grueso. Otra fuente de recarga natural es el deshielo, que origina infiltración continua durante varios meses, o perenne en el caso del </w:t>
      </w:r>
      <w:proofErr w:type="spellStart"/>
      <w:r>
        <w:t>Citlaltepetl</w:t>
      </w:r>
      <w:proofErr w:type="spellEnd"/>
      <w:r>
        <w:t xml:space="preserve">. </w:t>
      </w:r>
    </w:p>
    <w:p w:rsidR="00F92FDE" w:rsidRDefault="00F92FDE" w:rsidP="00F92FDE">
      <w:r>
        <w:t xml:space="preserve">Como no hay manantiales importantes en los macizos montañosos, se deduce que la mayor parte del agua infiltrada se </w:t>
      </w:r>
      <w:proofErr w:type="spellStart"/>
      <w:r>
        <w:t>percola</w:t>
      </w:r>
      <w:proofErr w:type="spellEnd"/>
      <w:r>
        <w:t xml:space="preserve"> a profundidad para incorporarse al acuífero regional, que la transmite hacia las áreas de descarga bajo el control de la gravedad y de la estructura geológica. </w:t>
      </w:r>
    </w:p>
    <w:p w:rsidR="00F92FDE" w:rsidRDefault="00F92FDE" w:rsidP="00F92FDE">
      <w:r>
        <w:t xml:space="preserve">Se supone que la recarga efectiva del acuífero es algo menor que el volumen infiltrado, ya que una parte de éste puede ser retenido en la zona no saturada. Se cree que la retención es importante en la zona de Buenos Aires-Serdán, donde existe una zona no saturada de gran espesor (50-150 m) con alta deficiencia de humedad; consecuentemente, gran parte del agua infiltrada queda retenida en los primeros metros de relleno seco, para después evaporarse sin aportar recarga efectiva al acuífero. </w:t>
      </w:r>
    </w:p>
    <w:p w:rsidR="00F92FDE" w:rsidRDefault="00F92FDE" w:rsidP="00F92FDE">
      <w:r>
        <w:t>Adicionalmente, es probable que la creciente extracción de agua del subsuelo, al provocar el abatimiento de la superficie freática en las áreas lacustres, haya inducido una infiltración estacional significativa en el lecho de los lagos y propiciado la infiltración directa de la lluvia, en áreas que originalmente no eran receptoras de recarga. Por otra parte, en los terrenos agrícolas y en los núcleos de población existe una alimentación generada por la infiltración de aguas residuales -excedentes de riego, fugas y descargas-; aunque más que una recarga se trata de una recirculación parcial del agua bombeada por los pozos.</w:t>
      </w:r>
    </w:p>
    <w:p w:rsidR="00C57168" w:rsidRDefault="00C57168" w:rsidP="00C57168">
      <w:r>
        <w:t xml:space="preserve">La descarga natural del acuífero de Oriental tiene lugar en varias formas: por evapotranspiración, a través de manantiales y, subterráneamente, hacia cuencas adyacentes.  A su vez, la evapotranspiración tiene dos componentes: la evaporación directa del agua subterránea y la transpiración. La primera tiene lugar en los lagos mayores y en los </w:t>
      </w:r>
      <w:proofErr w:type="spellStart"/>
      <w:r>
        <w:t>axalapascos</w:t>
      </w:r>
      <w:proofErr w:type="spellEnd"/>
      <w:r>
        <w:t>, donde aflora la superficie freática, así como en las áreas adyacentes a aquéllos, donde la misma superficie está poco profunda. En el subsuelo, el agua puede ascender, a partir del nivel freático, hasta una altura (“la altura capilar”) cuyo valor depende del tamaño de los poros o fisuras; en los materiales granulares, esa altura es inversamente proporcional al tamaño de los granos, variando entre unos cuantos decímetros en las gravas, y cerca de tres metros en los materiales limo-arcillosos. Este mecanismo de descarga se presenta todavía en la porción central de la zona Totolcingo; también se presentaba en la zona Tepeyahualco, pero en la actualidad ya fue suprimido porque los niveles freáticos están a profundidades mayores que 5 m.</w:t>
      </w:r>
    </w:p>
    <w:p w:rsidR="00C57168" w:rsidRDefault="00C57168" w:rsidP="00C57168">
      <w:r>
        <w:t xml:space="preserve">La evapotranspiración de agua subterránea tiene lugar en las áreas donde los niveles freáticos están a menos de unos 20 m de la superficie del terreno, de manera que pueden ser alcanzados por las raíces de la vegetación nativa. Esta forma de descarga se presenta en el valle de Huamantla y en algunas áreas de la cuenca, aunque no es la dominante porque la cobertura vegetal es muy escasa. </w:t>
      </w:r>
    </w:p>
    <w:p w:rsidR="00C57168" w:rsidRDefault="00C57168" w:rsidP="00C57168">
      <w:r>
        <w:t xml:space="preserve">Sólo existe un manantial de caudal significativo en la cuenca: el manantial de El Carmen, ubicado en el borde noroccidental de la zona de mismo nombre, que descarga alrededor de 40 </w:t>
      </w:r>
      <w:proofErr w:type="spellStart"/>
      <w:r>
        <w:t>lps</w:t>
      </w:r>
      <w:proofErr w:type="spellEnd"/>
      <w:r>
        <w:t xml:space="preserve">. Según datos consignados en estudios anteriores y testimonios verbales de los habitantes de esa </w:t>
      </w:r>
      <w:r>
        <w:lastRenderedPageBreak/>
        <w:t>localidad, el manantial es permanente, aunque su caudal tiene variaciones estacionales y de un año a otro, dependiendo de las variaciones de la precipitación pluvial.</w:t>
      </w:r>
    </w:p>
    <w:p w:rsidR="00C57168" w:rsidRDefault="00C57168" w:rsidP="00C57168">
      <w:r>
        <w:t xml:space="preserve">La estratigrafía y la estructura geológica sugieren que el acuífero  de Oriental forma parte de un sistema de flujo regional que se extiende más allá de la propia cuenca. En efecto, las rocas kársticas que subyacen o limitan lateralmente al relleno volcánico en algunas porciones  de la cuenca, pueden estar drenando al acuífero hacia niveles base más bajos y localizados en cuencas adyacentes; sin embargo, no está confirmado si esas formaciones tienen la continuidad estructural necesaria para constituir drenes efectivos, y si las formaciones sedimentarias arcillosas interpuestas permiten el flujo descendente.  </w:t>
      </w:r>
    </w:p>
    <w:p w:rsidR="00565FAF" w:rsidRDefault="00565FAF" w:rsidP="008D35B9">
      <w:pPr>
        <w:pStyle w:val="Ttulo3"/>
      </w:pPr>
      <w:r>
        <w:tab/>
      </w:r>
      <w:bookmarkStart w:id="99" w:name="_Toc283886459"/>
      <w:r>
        <w:t>Caracterización de los aprovechamientos e hidrometría</w:t>
      </w:r>
      <w:bookmarkEnd w:id="99"/>
    </w:p>
    <w:p w:rsidR="00D92034" w:rsidRPr="00BD2915" w:rsidRDefault="00D92034" w:rsidP="00D92034">
      <w:r w:rsidRPr="00BD2915">
        <w:t>En torno a la caracterización de los aprovechamientos subterráneos, cabe destacar la ausencia de censos de aprovechamientos recientes, siendo el último el de 1996 en donde se censaron 950 aprovechamientos, 791 activos y 159 inactivos; por lo tanto es el registro público de derechos de agua (REPDA) la fuente más confiable de número de aprovechamientos existente. Se carece de censos de aprovechamientos recientes y especialmente para el caso del acuífero de Libres – Oriental, se identificó una diferencia notable entre el volumen concesionado y el que se estimó a través de láminas de riego, superficies sembradas por tipo de cultivo y eficiencias globales de riego. Como es de esperarse el mayor número de aprovechamientos corresponde a pozos profundos y por el uso destinado la mayor parte de los aprovechamientos que existen el agua se destina al uso agrícola.</w:t>
      </w:r>
    </w:p>
    <w:p w:rsidR="00D92034" w:rsidRPr="00BD2915" w:rsidRDefault="00D92034" w:rsidP="00D92034">
      <w:pPr>
        <w:pStyle w:val="figura1cap5"/>
      </w:pPr>
      <w:bookmarkStart w:id="100" w:name="_Toc259787192"/>
      <w:r w:rsidRPr="00BD2915">
        <w:t>Tipos de aprovechamientos de acuerdo al censo de 1996.</w:t>
      </w:r>
      <w:bookmarkEnd w:id="100"/>
    </w:p>
    <w:p w:rsidR="00D92034" w:rsidRDefault="008011C2" w:rsidP="00D92034">
      <w:pPr>
        <w:ind w:firstLine="0"/>
        <w:jc w:val="center"/>
        <w:rPr>
          <w:noProof/>
          <w:lang w:eastAsia="es-MX"/>
        </w:rPr>
      </w:pPr>
      <w:r>
        <w:rPr>
          <w:noProof/>
          <w:lang w:eastAsia="es-MX"/>
        </w:rPr>
        <w:drawing>
          <wp:inline distT="0" distB="0" distL="0" distR="0">
            <wp:extent cx="3877800" cy="3327963"/>
            <wp:effectExtent l="0" t="0" r="8400" b="0"/>
            <wp:docPr id="35" name="Imagen 9" descr="tipos_apr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tipos_aprov"/>
                    <pic:cNvPicPr>
                      <a:picLocks noChangeAspect="1" noChangeArrowheads="1"/>
                    </pic:cNvPicPr>
                  </pic:nvPicPr>
                  <pic:blipFill>
                    <a:blip r:embed="rId49" cstate="print"/>
                    <a:srcRect l="4807" r="4497"/>
                    <a:stretch>
                      <a:fillRect/>
                    </a:stretch>
                  </pic:blipFill>
                  <pic:spPr bwMode="auto">
                    <a:xfrm>
                      <a:off x="0" y="0"/>
                      <a:ext cx="3883595" cy="3332936"/>
                    </a:xfrm>
                    <a:prstGeom prst="rect">
                      <a:avLst/>
                    </a:prstGeom>
                    <a:noFill/>
                    <a:ln w="9525">
                      <a:noFill/>
                      <a:miter lim="800000"/>
                      <a:headEnd/>
                      <a:tailEnd/>
                    </a:ln>
                  </pic:spPr>
                </pic:pic>
              </a:graphicData>
            </a:graphic>
          </wp:inline>
        </w:drawing>
      </w:r>
    </w:p>
    <w:p w:rsidR="00D92034" w:rsidRPr="00BD2915" w:rsidRDefault="00D92034" w:rsidP="00D92034">
      <w:pPr>
        <w:ind w:firstLine="0"/>
        <w:jc w:val="center"/>
      </w:pPr>
    </w:p>
    <w:p w:rsidR="00D92034" w:rsidRPr="00BD2915" w:rsidRDefault="00D92034" w:rsidP="00D92034">
      <w:pPr>
        <w:pStyle w:val="figura1cap5"/>
      </w:pPr>
      <w:bookmarkStart w:id="101" w:name="_Toc256703584"/>
      <w:bookmarkStart w:id="102" w:name="_Toc259787193"/>
      <w:r w:rsidRPr="00BD2915">
        <w:lastRenderedPageBreak/>
        <w:t>Aprovechamientos de acuerdo al uso (Censo de 1996).</w:t>
      </w:r>
      <w:bookmarkEnd w:id="101"/>
      <w:bookmarkEnd w:id="102"/>
    </w:p>
    <w:p w:rsidR="00D92034" w:rsidRPr="00BD2915" w:rsidRDefault="008011C2" w:rsidP="00D92034">
      <w:pPr>
        <w:jc w:val="center"/>
      </w:pPr>
      <w:r>
        <w:rPr>
          <w:noProof/>
          <w:lang w:eastAsia="es-MX"/>
        </w:rPr>
        <w:drawing>
          <wp:inline distT="0" distB="0" distL="0" distR="0">
            <wp:extent cx="4981575" cy="4257675"/>
            <wp:effectExtent l="0" t="0" r="9525" b="0"/>
            <wp:docPr id="36" name="Imagen 11" descr="C:\Huamantla_Libres_Perote\Figuras\usos_agua.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Huamantla_Libres_Perote\Figuras\usos_agua.wmf"/>
                    <pic:cNvPicPr>
                      <a:picLocks noChangeAspect="1" noChangeArrowheads="1"/>
                    </pic:cNvPicPr>
                  </pic:nvPicPr>
                  <pic:blipFill>
                    <a:blip r:embed="rId50" cstate="print"/>
                    <a:srcRect l="4807" r="4807"/>
                    <a:stretch>
                      <a:fillRect/>
                    </a:stretch>
                  </pic:blipFill>
                  <pic:spPr bwMode="auto">
                    <a:xfrm>
                      <a:off x="0" y="0"/>
                      <a:ext cx="4981575" cy="4257675"/>
                    </a:xfrm>
                    <a:prstGeom prst="rect">
                      <a:avLst/>
                    </a:prstGeom>
                    <a:noFill/>
                    <a:ln w="9525">
                      <a:noFill/>
                      <a:miter lim="800000"/>
                      <a:headEnd/>
                      <a:tailEnd/>
                    </a:ln>
                  </pic:spPr>
                </pic:pic>
              </a:graphicData>
            </a:graphic>
          </wp:inline>
        </w:drawing>
      </w:r>
    </w:p>
    <w:p w:rsidR="00D92034" w:rsidRPr="00D92034" w:rsidRDefault="00D92034" w:rsidP="00D92034"/>
    <w:p w:rsidR="00565FAF" w:rsidRDefault="00565FAF" w:rsidP="008D35B9">
      <w:pPr>
        <w:pStyle w:val="Ttulo3"/>
      </w:pPr>
      <w:r>
        <w:tab/>
      </w:r>
      <w:bookmarkStart w:id="103" w:name="_Toc283886460"/>
      <w:r>
        <w:t>Uso del agua subterránea</w:t>
      </w:r>
      <w:bookmarkEnd w:id="103"/>
    </w:p>
    <w:p w:rsidR="00D92034" w:rsidRPr="00BD2915" w:rsidRDefault="00D92034" w:rsidP="008011C2">
      <w:pPr>
        <w:outlineLvl w:val="0"/>
        <w:rPr>
          <w:b/>
        </w:rPr>
      </w:pPr>
      <w:r w:rsidRPr="00BD2915">
        <w:rPr>
          <w:b/>
        </w:rPr>
        <w:t xml:space="preserve">Volumen concesionado </w:t>
      </w:r>
    </w:p>
    <w:p w:rsidR="00D92034" w:rsidRDefault="00D92034" w:rsidP="00D92034">
      <w:r w:rsidRPr="00BD2915">
        <w:t xml:space="preserve">Con base en la distribución de los volúmenes concesionados y reportados al 31 de marzo de </w:t>
      </w:r>
      <w:r w:rsidRPr="009E0374">
        <w:rPr>
          <w:b/>
        </w:rPr>
        <w:t>2009 en el REPDA en donde el total resultó de 24</w:t>
      </w:r>
      <w:r w:rsidR="006A6B69" w:rsidRPr="009E0374">
        <w:rPr>
          <w:b/>
        </w:rPr>
        <w:t>6.29 hm³</w:t>
      </w:r>
      <w:r w:rsidR="006A6B69" w:rsidRPr="006A6B69">
        <w:t>, el 85</w:t>
      </w:r>
      <w:r w:rsidRPr="006A6B69">
        <w:t xml:space="preserve">.0% de este total se destina al uso agrícola, el </w:t>
      </w:r>
      <w:r w:rsidR="006A6B69" w:rsidRPr="006A6B69">
        <w:t>10.0</w:t>
      </w:r>
      <w:r w:rsidRPr="006A6B69">
        <w:t>% en el uso público urbano, el uso industrial cuenta con la concesión de</w:t>
      </w:r>
      <w:r w:rsidR="006A6B69" w:rsidRPr="006A6B69">
        <w:t>l 4.4</w:t>
      </w:r>
      <w:r w:rsidRPr="006A6B69">
        <w:t>% y el resto de los usos solo concentra el 0.6% del volumen total concesionado</w:t>
      </w:r>
      <w:r w:rsidR="00D4511F">
        <w:t>;</w:t>
      </w:r>
      <w:r w:rsidRPr="006A6B69">
        <w:t xml:space="preserve"> por lo que respecta al porcentaje que tiene concesionado cada acuífero en estudio, tenemos que el acuífero de </w:t>
      </w:r>
      <w:r w:rsidR="006A6B69" w:rsidRPr="006A6B69">
        <w:t xml:space="preserve">Huamantla </w:t>
      </w:r>
      <w:r w:rsidRPr="006A6B69">
        <w:t xml:space="preserve">tiene un volumen concesionado de </w:t>
      </w:r>
      <w:r w:rsidR="006A6B69" w:rsidRPr="006A6B69">
        <w:t>52.8</w:t>
      </w:r>
      <w:r w:rsidRPr="006A6B69">
        <w:t xml:space="preserve"> hm³, que representa el </w:t>
      </w:r>
      <w:r w:rsidR="006A6B69" w:rsidRPr="006A6B69">
        <w:t>21.5%</w:t>
      </w:r>
      <w:r w:rsidRPr="006A6B69">
        <w:t xml:space="preserve"> del volumen total concesionado, el </w:t>
      </w:r>
      <w:r w:rsidR="006A6B69" w:rsidRPr="006A6B69">
        <w:t xml:space="preserve">acuífero </w:t>
      </w:r>
      <w:r w:rsidRPr="006A6B69">
        <w:t>de Libres - Oriental es el acuífero que tiene el mayor porcentaje de volumen concesionado con el 69</w:t>
      </w:r>
      <w:r w:rsidR="006A6B69" w:rsidRPr="006A6B69">
        <w:t>.6</w:t>
      </w:r>
      <w:r w:rsidRPr="006A6B69">
        <w:t>% del total, lo que corresponde a 171.</w:t>
      </w:r>
      <w:r w:rsidR="006A6B69" w:rsidRPr="006A6B69">
        <w:t>4</w:t>
      </w:r>
      <w:r w:rsidRPr="006A6B69">
        <w:t xml:space="preserve"> hm³; finalmente, el acuífero de Perote – </w:t>
      </w:r>
      <w:r w:rsidR="00106565" w:rsidRPr="006A6B69">
        <w:t>Zalayeta</w:t>
      </w:r>
      <w:r w:rsidRPr="006A6B69">
        <w:t xml:space="preserve"> registra un volumen concesionado de 22.</w:t>
      </w:r>
      <w:r w:rsidR="006A6B69" w:rsidRPr="006A6B69">
        <w:t>1</w:t>
      </w:r>
      <w:r w:rsidRPr="006A6B69">
        <w:t xml:space="preserve"> hm³ lo que representa el 9</w:t>
      </w:r>
      <w:r w:rsidR="006A6B69" w:rsidRPr="006A6B69">
        <w:t>.0</w:t>
      </w:r>
      <w:r w:rsidRPr="006A6B69">
        <w:t>% del total de la región en estudio.</w:t>
      </w:r>
    </w:p>
    <w:p w:rsidR="00D92034" w:rsidRPr="00BD2915" w:rsidRDefault="00D92034" w:rsidP="00D92034"/>
    <w:p w:rsidR="00FD2BC3" w:rsidRDefault="00FD2BC3">
      <w:pPr>
        <w:spacing w:before="0" w:after="0" w:line="240" w:lineRule="auto"/>
        <w:ind w:firstLine="0"/>
        <w:jc w:val="left"/>
        <w:rPr>
          <w:i/>
          <w:color w:val="214F75"/>
        </w:rPr>
      </w:pPr>
      <w:bookmarkStart w:id="104" w:name="_Toc256703585"/>
      <w:bookmarkStart w:id="105" w:name="_Toc259787194"/>
      <w:r>
        <w:br w:type="page"/>
      </w:r>
    </w:p>
    <w:p w:rsidR="00D92034" w:rsidRPr="00BD2915" w:rsidRDefault="002F7149" w:rsidP="00D92034">
      <w:pPr>
        <w:pStyle w:val="figura1cap5"/>
      </w:pPr>
      <w:r>
        <w:lastRenderedPageBreak/>
        <w:t xml:space="preserve">Volumen concesionado subterráneo. Distribución por </w:t>
      </w:r>
      <w:bookmarkEnd w:id="104"/>
      <w:bookmarkEnd w:id="105"/>
      <w:r>
        <w:t>acuífero</w:t>
      </w:r>
    </w:p>
    <w:p w:rsidR="009E0374" w:rsidRDefault="00AD1AFE" w:rsidP="00AD1AFE">
      <w:pPr>
        <w:jc w:val="center"/>
      </w:pPr>
      <w:r w:rsidRPr="00AD1AFE">
        <w:rPr>
          <w:noProof/>
          <w:lang w:eastAsia="es-MX"/>
        </w:rPr>
        <w:drawing>
          <wp:inline distT="0" distB="0" distL="0" distR="0">
            <wp:extent cx="4763766" cy="2220686"/>
            <wp:effectExtent l="0" t="0" r="0" b="0"/>
            <wp:docPr id="6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srcRect/>
                    <a:stretch>
                      <a:fillRect/>
                    </a:stretch>
                  </pic:blipFill>
                  <pic:spPr bwMode="auto">
                    <a:xfrm>
                      <a:off x="0" y="0"/>
                      <a:ext cx="4768911" cy="2223085"/>
                    </a:xfrm>
                    <a:prstGeom prst="rect">
                      <a:avLst/>
                    </a:prstGeom>
                    <a:noFill/>
                    <a:ln w="9525">
                      <a:noFill/>
                      <a:miter lim="800000"/>
                      <a:headEnd/>
                      <a:tailEnd/>
                    </a:ln>
                  </pic:spPr>
                </pic:pic>
              </a:graphicData>
            </a:graphic>
          </wp:inline>
        </w:drawing>
      </w:r>
    </w:p>
    <w:p w:rsidR="00AD1AFE" w:rsidRDefault="00AD1AFE" w:rsidP="00AD1AFE">
      <w:pPr>
        <w:rPr>
          <w:sz w:val="18"/>
          <w:szCs w:val="18"/>
        </w:rPr>
      </w:pPr>
      <w:r w:rsidRPr="00F413F8">
        <w:rPr>
          <w:sz w:val="18"/>
          <w:szCs w:val="18"/>
        </w:rPr>
        <w:t xml:space="preserve">Fuente: Elaboración propia IGH </w:t>
      </w:r>
      <w:r>
        <w:rPr>
          <w:sz w:val="18"/>
          <w:szCs w:val="18"/>
        </w:rPr>
        <w:t xml:space="preserve"> con base a la información del REPDA proporcionado</w:t>
      </w:r>
    </w:p>
    <w:p w:rsidR="00AD1AFE" w:rsidRDefault="00AD1AFE" w:rsidP="009E0374">
      <w:pPr>
        <w:jc w:val="left"/>
      </w:pPr>
      <w:r>
        <w:t>En la siguiente figura se muestran los grandes usuarios identificados en el área de estudio.</w:t>
      </w:r>
    </w:p>
    <w:p w:rsidR="00AD1AFE" w:rsidRPr="00BD2915" w:rsidRDefault="002F7149" w:rsidP="00AD1AFE">
      <w:pPr>
        <w:pStyle w:val="figura1cap5"/>
      </w:pPr>
      <w:r>
        <w:t xml:space="preserve">Volumen concesionado subterráneo. </w:t>
      </w:r>
      <w:r w:rsidR="00AD1AFE">
        <w:t>Grandes usuarios</w:t>
      </w:r>
      <w:r w:rsidR="00AD1AFE" w:rsidRPr="00BD2915">
        <w:t>.</w:t>
      </w:r>
    </w:p>
    <w:p w:rsidR="00AD1AFE" w:rsidRDefault="00AD1AFE" w:rsidP="001D49F0">
      <w:pPr>
        <w:ind w:firstLine="0"/>
        <w:jc w:val="center"/>
      </w:pPr>
      <w:r w:rsidRPr="00AD1AFE">
        <w:rPr>
          <w:noProof/>
          <w:lang w:eastAsia="es-MX"/>
        </w:rPr>
        <w:drawing>
          <wp:inline distT="0" distB="0" distL="0" distR="0">
            <wp:extent cx="6132368" cy="4663440"/>
            <wp:effectExtent l="19050" t="0" r="1732" b="0"/>
            <wp:docPr id="89" name="Imagen 2" descr="REPDA SUBTERRANEO.jpg"/>
            <wp:cNvGraphicFramePr/>
            <a:graphic xmlns:a="http://schemas.openxmlformats.org/drawingml/2006/main">
              <a:graphicData uri="http://schemas.openxmlformats.org/drawingml/2006/picture">
                <pic:pic xmlns:pic="http://schemas.openxmlformats.org/drawingml/2006/picture">
                  <pic:nvPicPr>
                    <pic:cNvPr id="8" name="7 Imagen" descr="REPDA SUBTERRANEO.jpg"/>
                    <pic:cNvPicPr>
                      <a:picLocks noChangeAspect="1"/>
                    </pic:cNvPicPr>
                  </pic:nvPicPr>
                  <pic:blipFill>
                    <a:blip r:embed="rId52" cstate="print"/>
                    <a:stretch>
                      <a:fillRect/>
                    </a:stretch>
                  </pic:blipFill>
                  <pic:spPr>
                    <a:xfrm>
                      <a:off x="0" y="0"/>
                      <a:ext cx="6132368" cy="4663440"/>
                    </a:xfrm>
                    <a:prstGeom prst="rect">
                      <a:avLst/>
                    </a:prstGeom>
                  </pic:spPr>
                </pic:pic>
              </a:graphicData>
            </a:graphic>
          </wp:inline>
        </w:drawing>
      </w:r>
    </w:p>
    <w:p w:rsidR="00D92034" w:rsidRDefault="00D92034" w:rsidP="008011C2">
      <w:pPr>
        <w:outlineLvl w:val="0"/>
        <w:rPr>
          <w:b/>
        </w:rPr>
      </w:pPr>
      <w:r w:rsidRPr="00BD2915">
        <w:rPr>
          <w:b/>
        </w:rPr>
        <w:lastRenderedPageBreak/>
        <w:t xml:space="preserve">Volumen de extracción estimado </w:t>
      </w:r>
    </w:p>
    <w:p w:rsidR="00D92034" w:rsidRPr="00BD2915" w:rsidRDefault="00D92034" w:rsidP="00D92034">
      <w:r w:rsidRPr="00BD2915">
        <w:t xml:space="preserve">Para fines de balance y debido a que el volumen reportado en el REPDA no se ajusta a la extracción real que se está llevando a cabo en los acuíferos en estudio fue necesario estimar la extracción con métodos indirectos, principalmente en el uso agrícola que viene a ser el uso en donde existe una mayor diferencia con respecto a lo que reporta el REPDA y principalmente en el acuífero de Libres-Oriental. De esta manera y aplicando las superficies de riego de cada cultivo, su lámina de requerimiento de riego neto y la eficiencia de conducción y de aplicación se estimó un volumen total empleado para el uso agrícola en cada uno de los acuíferos en estudio. La superficie sembrada de riego de cada cultivo y para los últimos 5 años se obtuvo de las estadísticas  agrícolas de SAGARPA, las cuales se presentan desglosadas por municipio. Las láminas de requerimiento de riego neto que se emplearon para cada tipo de cultivo fueron proporcionadas por los mismos productores de la zona, así como los sistemas de riego empleados. </w:t>
      </w:r>
    </w:p>
    <w:p w:rsidR="00D92034" w:rsidRDefault="00D92034" w:rsidP="00D92034">
      <w:r w:rsidRPr="00BD2915">
        <w:t>El resultado final indica que el uso agrícola utiliza 269.5 hm³/año repartidos en los tres acuíferos, habiendo por lo tanto una diferencia de más de alrededor de 52 hm³/año con respecto al REPDA, el cual solo tiene registrado una concesión de 217.7 hm³/año. El volumen extraído y estimado para los diferentes usos suma un total de 314.8 hm³/año, siendo el uso agrícola el que acapara el mayor porcentaje de este total con el 85.6%, seguido del uso público urbano con el 13.6%, por acuíferos, el de Libres – Oriental estaría extrayendo dentro de sus límites geográficos el 75% del total, en lugar del 69% que reporta el REPDA; el acuífero de Huamantla extrae el 19% del total y el de Perote-</w:t>
      </w:r>
      <w:r w:rsidR="00106565">
        <w:t>Zalayeta</w:t>
      </w:r>
      <w:r w:rsidRPr="00BD2915">
        <w:t xml:space="preserve"> el restante 7%.</w:t>
      </w:r>
    </w:p>
    <w:p w:rsidR="00D92034" w:rsidRPr="00BD2915" w:rsidRDefault="00D92034" w:rsidP="00D92034">
      <w:pPr>
        <w:pStyle w:val="figura1cap5"/>
      </w:pPr>
      <w:bookmarkStart w:id="106" w:name="_Toc256703586"/>
      <w:bookmarkStart w:id="107" w:name="_Toc259787195"/>
      <w:r w:rsidRPr="00BD2915">
        <w:t>Extracción estimada  de agua subterránea.</w:t>
      </w:r>
      <w:bookmarkEnd w:id="106"/>
      <w:bookmarkEnd w:id="107"/>
    </w:p>
    <w:p w:rsidR="00D92034" w:rsidRDefault="008011C2" w:rsidP="00D92034">
      <w:pPr>
        <w:jc w:val="center"/>
      </w:pPr>
      <w:r>
        <w:rPr>
          <w:noProof/>
          <w:lang w:eastAsia="es-MX"/>
        </w:rPr>
        <w:drawing>
          <wp:inline distT="0" distB="0" distL="0" distR="0">
            <wp:extent cx="4838700" cy="3619500"/>
            <wp:effectExtent l="19050" t="0" r="0" b="0"/>
            <wp:docPr id="38" name="Imagen 19" descr="C:\Huamantla_Libres_Perote\Figuras\extracción_estim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C:\Huamantla_Libres_Perote\Figuras\extracción_estimada.jpg"/>
                    <pic:cNvPicPr>
                      <a:picLocks noChangeAspect="1" noChangeArrowheads="1"/>
                    </pic:cNvPicPr>
                  </pic:nvPicPr>
                  <pic:blipFill>
                    <a:blip r:embed="rId53" cstate="print"/>
                    <a:srcRect/>
                    <a:stretch>
                      <a:fillRect/>
                    </a:stretch>
                  </pic:blipFill>
                  <pic:spPr bwMode="auto">
                    <a:xfrm>
                      <a:off x="0" y="0"/>
                      <a:ext cx="4838700" cy="3619500"/>
                    </a:xfrm>
                    <a:prstGeom prst="rect">
                      <a:avLst/>
                    </a:prstGeom>
                    <a:noFill/>
                    <a:ln w="9525">
                      <a:noFill/>
                      <a:miter lim="800000"/>
                      <a:headEnd/>
                      <a:tailEnd/>
                    </a:ln>
                  </pic:spPr>
                </pic:pic>
              </a:graphicData>
            </a:graphic>
          </wp:inline>
        </w:drawing>
      </w:r>
    </w:p>
    <w:p w:rsidR="00565FAF" w:rsidRDefault="00565FAF" w:rsidP="008D35B9">
      <w:pPr>
        <w:pStyle w:val="Ttulo3"/>
      </w:pPr>
      <w:r>
        <w:lastRenderedPageBreak/>
        <w:tab/>
      </w:r>
      <w:bookmarkStart w:id="108" w:name="_Toc283886461"/>
      <w:r>
        <w:t>Comportamiento piezométrico</w:t>
      </w:r>
      <w:bookmarkEnd w:id="108"/>
    </w:p>
    <w:p w:rsidR="00D92034" w:rsidRPr="00BD2915" w:rsidRDefault="00D92034" w:rsidP="00D92034">
      <w:r>
        <w:t xml:space="preserve">La </w:t>
      </w:r>
      <w:r w:rsidRPr="00BD2915">
        <w:t>sobreexplotación general se confirma en el comportamiento de los niveles piezométricos, que registran abatimientos; sin embargo, por ser una cuenca cerrada con lagunas en su interior, estos acuíferos presentan un equilibrio frágil entre las lagunas y la reserva de agua subterránea.  Las lagunas a su vez, coinciden con áreas de menor precipitación con respecto al promedio, por este motivo, el aprovechamiento en los aledaños de las lagunas, ha modificado la relación entre éstas y los mantos freáticos, por lo cual se han secado progresivamente y debe considerarse que el descenso de los niveles de las lagunas, señala un síntoma de sobreexplotación cuando menos local en sus inmediaciones, lo cual eventualmente podría traducirse en un secado de éstas y un proceso de abatimiento acelerado en los años sucesivos.</w:t>
      </w:r>
    </w:p>
    <w:p w:rsidR="00D92034" w:rsidRPr="00BD2915" w:rsidRDefault="00D92034" w:rsidP="00D92034">
      <w:r w:rsidRPr="00BD2915">
        <w:t xml:space="preserve">A mediados de la década de los años “60”, se inició la observación de los niveles del agua subterránea en pozos distribuidos en las principales zonas geohidrológicas de la República; las observaciones a escala regional se iniciaron en la Cuenca de Oriental, y luego se extendieron a otras zonas. Desde entonces, se han realizado mediciones piezométricas con frecuencia irregular en pozos de bombeo o pozos piloto. Es posible que a través del tiempo, a consecuencia de diversos cambios al interior de las instituciones ligadas al recurso hídrico, la información piezométrica inicial se haya perdido parcial o totalmente. </w:t>
      </w:r>
    </w:p>
    <w:p w:rsidR="00D92034" w:rsidRPr="00BD2915" w:rsidRDefault="00D92034" w:rsidP="00D92034">
      <w:r w:rsidRPr="00BD2915">
        <w:t>En un estudio efectuado por la Gerencia Regional de Aguas del Valle de México (GRAVAMEX), se estimó que en 1966 existían alrededor de 360 pozos en toda la cuenca, llegando de forma bastante congruente a la conclusión que debido a la poca explotación de aquella época, el flujo subterráneo debería representar el drenaje natural del agua.</w:t>
      </w:r>
    </w:p>
    <w:p w:rsidR="00D92034" w:rsidRPr="00BD2915" w:rsidRDefault="00D92034" w:rsidP="00D92034">
      <w:r w:rsidRPr="00BD2915">
        <w:t>La explotación de agua por medio de pozos profundos se ha generalizado en toda la cuenca, reduciendo así las reservas de los mantos acuíferos. Los efectos de esta explotación son la disminución de la cantidad de manantiales y la profundización del nivel estático del agua subterránea.</w:t>
      </w:r>
    </w:p>
    <w:p w:rsidR="00D92034" w:rsidRPr="00BD2915" w:rsidRDefault="00D92034" w:rsidP="00D92034">
      <w:r w:rsidRPr="00BD2915">
        <w:t>Como fenómeno colateral se sabe que existe en la zona hundimiento regional, ya que cerca de la ciudad de Libres se construyeron canales de agua el siglo pasado, donde la pendiente ha disminuido con el paso del tiempo, sin embargo no se tienen pruebas concretas de que en otras partes de la cuenca este ocurriendo algo similar.</w:t>
      </w:r>
    </w:p>
    <w:p w:rsidR="00D92034" w:rsidRPr="00BD2915" w:rsidRDefault="00D92034" w:rsidP="00D92034">
      <w:r w:rsidRPr="00BD2915">
        <w:t>El estudio realizado por la GRAVAMEX en 1966 se supuso la existencia de acuíferos volcánicos y calizos, a profundidades mayores que las alcanzadas hasta ahora por los pozos de explotación. Esta suposición se corroboró al encontrar en un pozo de la paraestatal PEMEX perforado a un kilómetro de profundidad, donde se tiene la presencia de agua sulfurosa artesiana con características similares a la encontrada en la Ciudad de Puebla. Debido al alto costo de construcción de pozos en rocas consolidadas, por el riesgo que éstos no resulten de caudal redituable o de mala calidad, el aprovechamiento de estas fuentes profundas no parece actualmente económicamente viable.</w:t>
      </w:r>
    </w:p>
    <w:p w:rsidR="00D92034" w:rsidRPr="00BD2915" w:rsidRDefault="00D92034" w:rsidP="00D92034">
      <w:r w:rsidRPr="00BD2915">
        <w:t xml:space="preserve">Se realizó un análisis de la piezometría histórica que se pudo recabar de los tres acuíferos, con la finalidad de determinar el periodo optimo para cuantificar la evolución del nivel estático y su </w:t>
      </w:r>
      <w:r w:rsidRPr="00BD2915">
        <w:lastRenderedPageBreak/>
        <w:t>abatimiento medio anual, para posteriormente realizar el balance de aguas subterráneas y poder actualizar la disponibilidad de los tres acuíferos. De este análisis se concluye que el año que aporta el mayor número de datos piezométricos es el de 1996 y para ser más exactos el mes de febrero en donde se tienen 569 datos piezométricos distribuidos en los tres acuíferos, de allí que el periodo que se utilizó para actualizar el balance hidrogeológico fuera el de 1996 al 2008, es decir los últimos 12 años.</w:t>
      </w:r>
    </w:p>
    <w:p w:rsidR="00D92034" w:rsidRPr="00BD2915" w:rsidRDefault="00D92034" w:rsidP="008011C2">
      <w:pPr>
        <w:outlineLvl w:val="0"/>
        <w:rPr>
          <w:b/>
        </w:rPr>
      </w:pPr>
      <w:r w:rsidRPr="00BD2915">
        <w:rPr>
          <w:b/>
        </w:rPr>
        <w:t>Información disponible</w:t>
      </w:r>
    </w:p>
    <w:p w:rsidR="00D92034" w:rsidRPr="00BD2915" w:rsidRDefault="00D92034" w:rsidP="00D92034">
      <w:r w:rsidRPr="00BD2915">
        <w:t xml:space="preserve">Se recopiló la información piezométrica histórica del sistema acuífero Huamantla-Libres-Oriental-Perote en las </w:t>
      </w:r>
      <w:r w:rsidR="003F2DDC">
        <w:t>Direcciones L</w:t>
      </w:r>
      <w:r w:rsidRPr="00BD2915">
        <w:t>ocal</w:t>
      </w:r>
      <w:r w:rsidR="003F2DDC">
        <w:t>es</w:t>
      </w:r>
      <w:r w:rsidRPr="00BD2915">
        <w:t xml:space="preserve"> en puebla y Tlaxcala y en los Organismos de Cuenca Balsas y </w:t>
      </w:r>
      <w:r w:rsidR="003F2DDC">
        <w:t>Golfo Centro (Cuernavaca, Mor. y</w:t>
      </w:r>
      <w:r w:rsidRPr="00BD2915">
        <w:t xml:space="preserve"> Jalapa, Ver.), dicha información contempla datos piezométricos desde 1966 hasta noviembre de 2008. En la </w:t>
      </w:r>
      <w:r w:rsidR="00BE2961">
        <w:rPr>
          <w:color w:val="00B050"/>
        </w:rPr>
        <w:fldChar w:fldCharType="begin"/>
      </w:r>
      <w:r>
        <w:instrText xml:space="preserve"> REF _Ref259783399 \r \h </w:instrText>
      </w:r>
      <w:r w:rsidR="00BE2961">
        <w:rPr>
          <w:color w:val="00B050"/>
        </w:rPr>
      </w:r>
      <w:r w:rsidR="00BE2961">
        <w:rPr>
          <w:color w:val="00B050"/>
        </w:rPr>
        <w:fldChar w:fldCharType="separate"/>
      </w:r>
      <w:r w:rsidR="001C36B4">
        <w:t>Tabla 5.14</w:t>
      </w:r>
      <w:r w:rsidR="00BE2961">
        <w:rPr>
          <w:color w:val="00B050"/>
        </w:rPr>
        <w:fldChar w:fldCharType="end"/>
      </w:r>
      <w:r>
        <w:rPr>
          <w:color w:val="00B050"/>
        </w:rPr>
        <w:t xml:space="preserve"> </w:t>
      </w:r>
      <w:r w:rsidRPr="00BD2915">
        <w:t>se presenta un resumen de las mediciones de profundidades al nivel estático, realizadas año con año desde 1966 hasta el 2008 y que aparecen en el registro histórico piezométrico del Sistema acuífero Huamantla-Libres-Oriental-Perote. Existe una buena cantidad de años con datos piezométricos, sobre todo en la década actual (2000); es importante mencionar que son pocos los pozos de la red piezométrica que muestran un registro continuo desde 1966 hasta nuestros días, en la mayoría de los casos sucede que los piezómetros utilizados solo cuentan con algunos años de registros.</w:t>
      </w:r>
    </w:p>
    <w:p w:rsidR="00D92034" w:rsidRPr="00BD2915" w:rsidRDefault="00D92034" w:rsidP="00D92034">
      <w:pPr>
        <w:pStyle w:val="Tabla1cap5"/>
      </w:pPr>
      <w:bookmarkStart w:id="109" w:name="_Toc256703554"/>
      <w:bookmarkStart w:id="110" w:name="_Ref259783399"/>
      <w:bookmarkStart w:id="111" w:name="_Toc259787149"/>
      <w:r w:rsidRPr="00BD2915">
        <w:t>Resumen de mediciones piezométricas por año dentro del sistema acuífero Huamantla-Libres-Oriental-Perote, Pue</w:t>
      </w:r>
      <w:r w:rsidR="003C7F1A">
        <w:t>bla</w:t>
      </w:r>
      <w:r w:rsidRPr="00BD2915">
        <w:t>.</w:t>
      </w:r>
      <w:bookmarkEnd w:id="109"/>
      <w:bookmarkEnd w:id="110"/>
      <w:bookmarkEnd w:id="111"/>
    </w:p>
    <w:tbl>
      <w:tblPr>
        <w:tblW w:w="8312" w:type="dxa"/>
        <w:jc w:val="center"/>
        <w:tblInd w:w="55" w:type="dxa"/>
        <w:tblCellMar>
          <w:left w:w="70" w:type="dxa"/>
          <w:right w:w="70" w:type="dxa"/>
        </w:tblCellMar>
        <w:tblLook w:val="0000"/>
      </w:tblPr>
      <w:tblGrid>
        <w:gridCol w:w="1931"/>
        <w:gridCol w:w="2127"/>
        <w:gridCol w:w="2127"/>
        <w:gridCol w:w="2127"/>
      </w:tblGrid>
      <w:tr w:rsidR="00D92034" w:rsidRPr="00BD2915" w:rsidTr="00CA2E44">
        <w:trPr>
          <w:trHeight w:val="240"/>
          <w:tblHeader/>
          <w:jc w:val="center"/>
        </w:trPr>
        <w:tc>
          <w:tcPr>
            <w:tcW w:w="1931" w:type="dxa"/>
            <w:tcBorders>
              <w:top w:val="single" w:sz="8" w:space="0" w:color="auto"/>
              <w:left w:val="single" w:sz="8" w:space="0" w:color="auto"/>
              <w:bottom w:val="single" w:sz="4" w:space="0" w:color="auto"/>
              <w:right w:val="single" w:sz="8" w:space="0" w:color="auto"/>
            </w:tcBorders>
            <w:shd w:val="clear" w:color="auto" w:fill="C0C0C0"/>
            <w:noWrap/>
            <w:vAlign w:val="center"/>
          </w:tcPr>
          <w:p w:rsidR="00D92034" w:rsidRPr="00BD2915" w:rsidRDefault="00D92034" w:rsidP="00CA2E44">
            <w:pPr>
              <w:jc w:val="center"/>
              <w:rPr>
                <w:rFonts w:cs="Arial"/>
                <w:b/>
                <w:bCs/>
                <w:sz w:val="16"/>
                <w:szCs w:val="16"/>
                <w:lang w:eastAsia="es-MX"/>
              </w:rPr>
            </w:pPr>
            <w:r w:rsidRPr="00BD2915">
              <w:rPr>
                <w:rFonts w:cs="Arial"/>
                <w:b/>
                <w:bCs/>
                <w:sz w:val="16"/>
                <w:szCs w:val="16"/>
                <w:lang w:val="es-ES" w:eastAsia="es-MX"/>
              </w:rPr>
              <w:t>Año con registro piezométrico</w:t>
            </w:r>
          </w:p>
        </w:tc>
        <w:tc>
          <w:tcPr>
            <w:tcW w:w="2127" w:type="dxa"/>
            <w:tcBorders>
              <w:top w:val="single" w:sz="8" w:space="0" w:color="auto"/>
              <w:left w:val="nil"/>
              <w:bottom w:val="single" w:sz="4" w:space="0" w:color="auto"/>
              <w:right w:val="single" w:sz="8" w:space="0" w:color="auto"/>
            </w:tcBorders>
            <w:shd w:val="clear" w:color="auto" w:fill="C0C0C0"/>
            <w:noWrap/>
            <w:vAlign w:val="center"/>
          </w:tcPr>
          <w:p w:rsidR="00D92034" w:rsidRPr="00BD2915" w:rsidRDefault="00D92034" w:rsidP="00CA2E44">
            <w:pPr>
              <w:jc w:val="center"/>
              <w:rPr>
                <w:rFonts w:cs="Arial"/>
                <w:b/>
                <w:bCs/>
                <w:sz w:val="16"/>
                <w:szCs w:val="16"/>
                <w:lang w:eastAsia="es-MX"/>
              </w:rPr>
            </w:pPr>
            <w:r w:rsidRPr="00BD2915">
              <w:rPr>
                <w:rFonts w:cs="Arial"/>
                <w:b/>
                <w:bCs/>
                <w:sz w:val="16"/>
                <w:szCs w:val="16"/>
                <w:lang w:val="es-ES" w:eastAsia="es-MX"/>
              </w:rPr>
              <w:t>Número de mediciones de nivel estático</w:t>
            </w:r>
          </w:p>
        </w:tc>
        <w:tc>
          <w:tcPr>
            <w:tcW w:w="2127" w:type="dxa"/>
            <w:tcBorders>
              <w:top w:val="single" w:sz="8" w:space="0" w:color="auto"/>
              <w:left w:val="nil"/>
              <w:bottom w:val="single" w:sz="4" w:space="0" w:color="auto"/>
              <w:right w:val="single" w:sz="8" w:space="0" w:color="auto"/>
            </w:tcBorders>
            <w:shd w:val="clear" w:color="auto" w:fill="C0C0C0"/>
            <w:vAlign w:val="center"/>
          </w:tcPr>
          <w:p w:rsidR="00D92034" w:rsidRPr="00BD2915" w:rsidRDefault="00D92034" w:rsidP="00CA2E44">
            <w:pPr>
              <w:jc w:val="center"/>
              <w:rPr>
                <w:rFonts w:cs="Arial"/>
                <w:b/>
                <w:bCs/>
                <w:sz w:val="16"/>
                <w:szCs w:val="16"/>
                <w:lang w:eastAsia="es-MX"/>
              </w:rPr>
            </w:pPr>
            <w:r w:rsidRPr="00BD2915">
              <w:rPr>
                <w:rFonts w:cs="Arial"/>
                <w:b/>
                <w:bCs/>
                <w:sz w:val="16"/>
                <w:szCs w:val="16"/>
                <w:lang w:val="es-ES" w:eastAsia="es-MX"/>
              </w:rPr>
              <w:t>Año con registro piezométrico</w:t>
            </w:r>
          </w:p>
        </w:tc>
        <w:tc>
          <w:tcPr>
            <w:tcW w:w="2127" w:type="dxa"/>
            <w:tcBorders>
              <w:top w:val="single" w:sz="8" w:space="0" w:color="auto"/>
              <w:left w:val="nil"/>
              <w:bottom w:val="single" w:sz="4" w:space="0" w:color="auto"/>
              <w:right w:val="single" w:sz="8" w:space="0" w:color="auto"/>
            </w:tcBorders>
            <w:shd w:val="clear" w:color="auto" w:fill="C0C0C0"/>
            <w:vAlign w:val="center"/>
          </w:tcPr>
          <w:p w:rsidR="00D92034" w:rsidRPr="00BD2915" w:rsidRDefault="00D92034" w:rsidP="00CA2E44">
            <w:pPr>
              <w:jc w:val="center"/>
              <w:rPr>
                <w:rFonts w:cs="Arial"/>
                <w:b/>
                <w:bCs/>
                <w:sz w:val="16"/>
                <w:szCs w:val="16"/>
                <w:lang w:eastAsia="es-MX"/>
              </w:rPr>
            </w:pPr>
            <w:r w:rsidRPr="00BD2915">
              <w:rPr>
                <w:rFonts w:cs="Arial"/>
                <w:b/>
                <w:bCs/>
                <w:sz w:val="16"/>
                <w:szCs w:val="16"/>
                <w:lang w:val="es-ES" w:eastAsia="es-MX"/>
              </w:rPr>
              <w:t>Número de mediciones de nivel estático</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Sep-66</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50</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Abr-93</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Ene-70</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50</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Ago-93</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Ene-74</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Mar-94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Jun-79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Ago-94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Ene-80</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66</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Feb-95</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21</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Mar-81</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Sep-95</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20</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Abr-82</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proofErr w:type="spellStart"/>
            <w:r w:rsidRPr="00BD2915">
              <w:rPr>
                <w:rFonts w:ascii="Calibri" w:hAnsi="Calibri"/>
                <w:color w:val="000000"/>
                <w:szCs w:val="22"/>
              </w:rPr>
              <w:t>feb-may</w:t>
            </w:r>
            <w:proofErr w:type="spellEnd"/>
            <w:r w:rsidRPr="00BD2915">
              <w:rPr>
                <w:rFonts w:ascii="Calibri" w:hAnsi="Calibri"/>
                <w:color w:val="000000"/>
                <w:szCs w:val="22"/>
              </w:rPr>
              <w:t xml:space="preserve"> -96</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569</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Jun-83</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Nov-96</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286</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Oct-83</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Mar-97</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23</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Abr-84</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3</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Nov-97</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140</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Ago-84</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12</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Mar-98</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18</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Ene-85</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74</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Ago-98</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19</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Ago-85</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18</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Mar-99</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34</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Mar-86</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10</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Ago-99</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20</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Ago-86</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8</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Mar-00</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21</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Mar-87</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21</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Sep-00</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161</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Oct-87</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Mar-01</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20</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Mar-89</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6</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Sep-01</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42</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Ago-90</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12</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Mar-02</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20</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Mar-91</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9</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Oct-02</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165</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lastRenderedPageBreak/>
              <w:t>Mar-92</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8</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Mar-03</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20</w:t>
            </w:r>
          </w:p>
        </w:tc>
      </w:tr>
      <w:tr w:rsidR="00D92034" w:rsidRPr="00BD2915" w:rsidTr="00CA2E44">
        <w:trPr>
          <w:trHeight w:val="225"/>
          <w:jc w:val="center"/>
        </w:trPr>
        <w:tc>
          <w:tcPr>
            <w:tcW w:w="1931"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Ago-92</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5</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Nov-03</w:t>
            </w:r>
          </w:p>
        </w:tc>
        <w:tc>
          <w:tcPr>
            <w:tcW w:w="2127" w:type="dxa"/>
            <w:tcBorders>
              <w:top w:val="single" w:sz="4" w:space="0" w:color="auto"/>
              <w:left w:val="nil"/>
              <w:bottom w:val="single" w:sz="4" w:space="0" w:color="auto"/>
              <w:right w:val="single" w:sz="4" w:space="0" w:color="auto"/>
            </w:tcBorders>
            <w:vAlign w:val="center"/>
          </w:tcPr>
          <w:p w:rsidR="00D92034" w:rsidRPr="00BD2915" w:rsidRDefault="00D92034" w:rsidP="00CA2E44">
            <w:pPr>
              <w:spacing w:before="0" w:after="0" w:line="240" w:lineRule="auto"/>
              <w:jc w:val="center"/>
              <w:rPr>
                <w:rFonts w:ascii="Calibri" w:hAnsi="Calibri"/>
                <w:color w:val="000000"/>
                <w:szCs w:val="22"/>
              </w:rPr>
            </w:pPr>
            <w:r w:rsidRPr="00BD2915">
              <w:rPr>
                <w:rFonts w:ascii="Calibri" w:hAnsi="Calibri"/>
                <w:color w:val="000000"/>
                <w:szCs w:val="22"/>
              </w:rPr>
              <w:t>44</w:t>
            </w:r>
          </w:p>
        </w:tc>
      </w:tr>
    </w:tbl>
    <w:p w:rsidR="00D92034" w:rsidRPr="00BD2915" w:rsidRDefault="00D92034" w:rsidP="00D92034"/>
    <w:p w:rsidR="00D92034" w:rsidRDefault="00D92034" w:rsidP="008011C2">
      <w:pPr>
        <w:outlineLvl w:val="0"/>
      </w:pPr>
      <w:r w:rsidRPr="00BD2915">
        <w:t xml:space="preserve">En la </w:t>
      </w:r>
      <w:r w:rsidR="00BE2961">
        <w:rPr>
          <w:color w:val="00B050"/>
        </w:rPr>
        <w:fldChar w:fldCharType="begin"/>
      </w:r>
      <w:r w:rsidR="00F64347">
        <w:instrText xml:space="preserve"> REF _Ref259995021 \r \h </w:instrText>
      </w:r>
      <w:r w:rsidR="00BE2961">
        <w:rPr>
          <w:color w:val="00B050"/>
        </w:rPr>
      </w:r>
      <w:r w:rsidR="00BE2961">
        <w:rPr>
          <w:color w:val="00B050"/>
        </w:rPr>
        <w:fldChar w:fldCharType="separate"/>
      </w:r>
      <w:r w:rsidR="001C36B4">
        <w:t>Figura 5.20</w:t>
      </w:r>
      <w:r w:rsidR="00BE2961">
        <w:rPr>
          <w:color w:val="00B050"/>
        </w:rPr>
        <w:fldChar w:fldCharType="end"/>
      </w:r>
      <w:r w:rsidR="00F64347">
        <w:rPr>
          <w:color w:val="00B050"/>
        </w:rPr>
        <w:t xml:space="preserve"> </w:t>
      </w:r>
      <w:r w:rsidRPr="00BD2915">
        <w:t>se muestra la ubicación de los piezómetros en febrero de 1996 y los de 2008</w:t>
      </w:r>
    </w:p>
    <w:p w:rsidR="00F64347" w:rsidRPr="00BD2915" w:rsidRDefault="00F64347" w:rsidP="008011C2">
      <w:pPr>
        <w:outlineLvl w:val="0"/>
        <w:rPr>
          <w:b/>
        </w:rPr>
      </w:pPr>
      <w:r w:rsidRPr="00BD2915">
        <w:rPr>
          <w:b/>
        </w:rPr>
        <w:t>Hidrógrafos</w:t>
      </w:r>
    </w:p>
    <w:p w:rsidR="00F64347" w:rsidRPr="00BD2915" w:rsidRDefault="00F64347" w:rsidP="00F64347">
      <w:r w:rsidRPr="00BD2915">
        <w:t xml:space="preserve">Se construyeron 45 hidrógrafos de niveles estáticos con la información histórica recopilada y que además cuentan con al menos 10 años de registros piezométricos; de las gráficas generadas se aprecia que la tendencia general que muestran los piezómetros es hacia el abatimiento, ya que en 44 de los 45 hidrógrafos se mostró esta tendencia. </w:t>
      </w:r>
    </w:p>
    <w:p w:rsidR="00F64347" w:rsidRPr="00BD2915" w:rsidRDefault="00F64347" w:rsidP="008011C2">
      <w:pPr>
        <w:outlineLvl w:val="0"/>
        <w:rPr>
          <w:b/>
        </w:rPr>
      </w:pPr>
      <w:r w:rsidRPr="00BD2915">
        <w:rPr>
          <w:b/>
        </w:rPr>
        <w:t>Curvas de igual profundidad al nivel estático para el año 1996 (Isobatas).</w:t>
      </w:r>
    </w:p>
    <w:p w:rsidR="00F64347" w:rsidRPr="00BD2915" w:rsidRDefault="00F64347" w:rsidP="00F64347">
      <w:r w:rsidRPr="00BD2915">
        <w:t>Con los datos piezométricos del año 1996, se configuró la profundidad del nivel estático. Es importante mencionar que las mediciones piezométricas que fueron realizadas en ese año abarcaron los tres acuíferos en estudio, de hecho en algunos casos se hicieron mediciones a la salida con el acuífero Valle de Tecamachalco.</w:t>
      </w:r>
    </w:p>
    <w:p w:rsidR="00D92034" w:rsidRPr="00BD2915" w:rsidRDefault="00D92034" w:rsidP="00F64347">
      <w:pPr>
        <w:pStyle w:val="figura1cap5"/>
      </w:pPr>
      <w:bookmarkStart w:id="112" w:name="_Toc256703587"/>
      <w:bookmarkStart w:id="113" w:name="_Toc259787196"/>
      <w:bookmarkStart w:id="114" w:name="_Ref259995021"/>
      <w:r w:rsidRPr="00BD2915">
        <w:t>Ubicación de piezómetros en febrero de 1996 y en noviembre de 2008</w:t>
      </w:r>
      <w:bookmarkEnd w:id="112"/>
      <w:bookmarkEnd w:id="113"/>
      <w:bookmarkEnd w:id="114"/>
    </w:p>
    <w:p w:rsidR="00D92034" w:rsidRPr="00BD2915" w:rsidRDefault="008011C2" w:rsidP="00D92034">
      <w:pPr>
        <w:jc w:val="center"/>
      </w:pPr>
      <w:r>
        <w:rPr>
          <w:noProof/>
          <w:lang w:eastAsia="es-MX"/>
        </w:rPr>
        <w:drawing>
          <wp:inline distT="0" distB="0" distL="0" distR="0">
            <wp:extent cx="4025823" cy="3705727"/>
            <wp:effectExtent l="0" t="0" r="0" b="0"/>
            <wp:docPr id="39" name="Imagen 25" descr="C:\Huamantla_Libres_Perote\Figuras\piezómetros.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C:\Huamantla_Libres_Perote\Figuras\piezómetros.wmf"/>
                    <pic:cNvPicPr>
                      <a:picLocks noChangeAspect="1" noChangeArrowheads="1"/>
                    </pic:cNvPicPr>
                  </pic:nvPicPr>
                  <pic:blipFill>
                    <a:blip r:embed="rId54" cstate="print"/>
                    <a:srcRect l="11317" r="11317" b="7951"/>
                    <a:stretch>
                      <a:fillRect/>
                    </a:stretch>
                  </pic:blipFill>
                  <pic:spPr bwMode="auto">
                    <a:xfrm>
                      <a:off x="0" y="0"/>
                      <a:ext cx="4021434" cy="3701687"/>
                    </a:xfrm>
                    <a:prstGeom prst="rect">
                      <a:avLst/>
                    </a:prstGeom>
                    <a:noFill/>
                    <a:ln w="9525">
                      <a:noFill/>
                      <a:miter lim="800000"/>
                      <a:headEnd/>
                      <a:tailEnd/>
                    </a:ln>
                  </pic:spPr>
                </pic:pic>
              </a:graphicData>
            </a:graphic>
          </wp:inline>
        </w:drawing>
      </w:r>
    </w:p>
    <w:p w:rsidR="00D92034" w:rsidRDefault="00D92034" w:rsidP="00D92034">
      <w:r w:rsidRPr="00BD2915">
        <w:lastRenderedPageBreak/>
        <w:t xml:space="preserve">En la </w:t>
      </w:r>
      <w:r w:rsidR="00BE2961">
        <w:rPr>
          <w:color w:val="00B050"/>
        </w:rPr>
        <w:fldChar w:fldCharType="begin"/>
      </w:r>
      <w:r>
        <w:instrText xml:space="preserve"> REF _Ref259783639 \r \h </w:instrText>
      </w:r>
      <w:r w:rsidR="00BE2961">
        <w:rPr>
          <w:color w:val="00B050"/>
        </w:rPr>
      </w:r>
      <w:r w:rsidR="00BE2961">
        <w:rPr>
          <w:color w:val="00B050"/>
        </w:rPr>
        <w:fldChar w:fldCharType="separate"/>
      </w:r>
      <w:r w:rsidR="001C36B4">
        <w:t>Figura 5.21</w:t>
      </w:r>
      <w:r w:rsidR="00BE2961">
        <w:rPr>
          <w:color w:val="00B050"/>
        </w:rPr>
        <w:fldChar w:fldCharType="end"/>
      </w:r>
      <w:r>
        <w:rPr>
          <w:color w:val="00B050"/>
        </w:rPr>
        <w:t xml:space="preserve"> </w:t>
      </w:r>
      <w:r w:rsidRPr="00BD2915">
        <w:t>se presenta la configuración de profundidades del nivel estático del agua subterránea expresada en metros, para el año 1996. En esta configuración las isobatas varían de 0 a 190 m de profundidad del nivel estático; ubicándose las más profundas en las zonas más elevadas que rodean al valle en donde se registran profundidades del nivel estático de 80 a 190 m. Por su parte las zonas más someras se ubican justo debajo de las lagunas en donde la profundidad al nivel estático es de centímetros hasta 5 m; por último en el límite entre los acuíferos de Libres – Oriental  y el de Valle de Tecamachalco se aprecia que la profundidad al nivel estático es de 35 m. El resto de la zona del valle muestra niveles someros entre 20 y 80 m para este año.</w:t>
      </w:r>
    </w:p>
    <w:p w:rsidR="00F64347" w:rsidRPr="00BD2915" w:rsidRDefault="00F64347" w:rsidP="008011C2">
      <w:pPr>
        <w:outlineLvl w:val="0"/>
        <w:rPr>
          <w:b/>
        </w:rPr>
      </w:pPr>
      <w:r w:rsidRPr="00BD2915">
        <w:rPr>
          <w:b/>
        </w:rPr>
        <w:t>Curvas de igual profundidad al nivel estático para el año 2008 (Isobatas).</w:t>
      </w:r>
    </w:p>
    <w:p w:rsidR="00F64347" w:rsidRDefault="00F64347" w:rsidP="00F64347">
      <w:r w:rsidRPr="00BD2915">
        <w:t xml:space="preserve">Las curvas de igual profundidad al nivel estático que se presentan en la </w:t>
      </w:r>
      <w:r w:rsidR="00BE2961">
        <w:rPr>
          <w:color w:val="00B050"/>
        </w:rPr>
        <w:fldChar w:fldCharType="begin"/>
      </w:r>
      <w:r>
        <w:instrText xml:space="preserve"> REF _Ref259783768 \r \h </w:instrText>
      </w:r>
      <w:r w:rsidR="00BE2961">
        <w:rPr>
          <w:color w:val="00B050"/>
        </w:rPr>
      </w:r>
      <w:r w:rsidR="00BE2961">
        <w:rPr>
          <w:color w:val="00B050"/>
        </w:rPr>
        <w:fldChar w:fldCharType="separate"/>
      </w:r>
      <w:r w:rsidR="001C36B4">
        <w:t>Figura 5.22</w:t>
      </w:r>
      <w:r w:rsidR="00BE2961">
        <w:rPr>
          <w:color w:val="00B050"/>
        </w:rPr>
        <w:fldChar w:fldCharType="end"/>
      </w:r>
      <w:r>
        <w:rPr>
          <w:color w:val="00B050"/>
        </w:rPr>
        <w:t xml:space="preserve"> </w:t>
      </w:r>
      <w:r w:rsidRPr="00BD2915">
        <w:t xml:space="preserve">fueron generadas a partir de las mediciones de profundidad al nivel estático que se realizaron en campo en 66 aprovechamientos de agua subterránea. Posteriormente los datos de profundidad del nivel estático fueron incorporados a un sistema de información geográfica; las curvas de igual profundidad al nivel estático fueron generadas utilizando el software </w:t>
      </w:r>
      <w:proofErr w:type="spellStart"/>
      <w:r w:rsidRPr="00BD2915">
        <w:t>Surfer</w:t>
      </w:r>
      <w:proofErr w:type="spellEnd"/>
      <w:r w:rsidRPr="00BD2915">
        <w:t>. Con las curvas de igual profundidad se generó a su vez un modelo digital de isobatas en donde se presentan con distintos colores los diferentes rangos de profundidad al nivel estático. Teniendo de esta forma, que los colores más oscuro indican rangos de profundidades mayores (205 m) y en colores claros rangos de profundidades someras (5 m).</w:t>
      </w:r>
    </w:p>
    <w:p w:rsidR="00D92034" w:rsidRPr="00BD2915" w:rsidRDefault="00D92034" w:rsidP="00F64347">
      <w:pPr>
        <w:pStyle w:val="figura1cap5"/>
      </w:pPr>
      <w:bookmarkStart w:id="115" w:name="_Toc256703588"/>
      <w:bookmarkStart w:id="116" w:name="_Ref259783639"/>
      <w:bookmarkStart w:id="117" w:name="_Toc259787197"/>
      <w:r w:rsidRPr="00BD2915">
        <w:t>Isobatas en 1996</w:t>
      </w:r>
      <w:bookmarkEnd w:id="115"/>
      <w:bookmarkEnd w:id="116"/>
      <w:bookmarkEnd w:id="117"/>
    </w:p>
    <w:p w:rsidR="00D92034" w:rsidRPr="00BD2915" w:rsidRDefault="008011C2" w:rsidP="00D92034">
      <w:pPr>
        <w:ind w:firstLine="0"/>
        <w:jc w:val="center"/>
      </w:pPr>
      <w:r>
        <w:rPr>
          <w:noProof/>
          <w:lang w:eastAsia="es-MX"/>
        </w:rPr>
        <w:drawing>
          <wp:inline distT="0" distB="0" distL="0" distR="0">
            <wp:extent cx="4582640" cy="3650032"/>
            <wp:effectExtent l="19050" t="0" r="8410" b="0"/>
            <wp:docPr id="40" name="Imagen 33" descr="C:\Huamantla_Libres_Perote\Figuras\Isobatas_1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C:\Huamantla_Libres_Perote\Figuras\Isobatas_1996.jpg"/>
                    <pic:cNvPicPr>
                      <a:picLocks noChangeAspect="1" noChangeArrowheads="1"/>
                    </pic:cNvPicPr>
                  </pic:nvPicPr>
                  <pic:blipFill>
                    <a:blip r:embed="rId55" cstate="print"/>
                    <a:srcRect/>
                    <a:stretch>
                      <a:fillRect/>
                    </a:stretch>
                  </pic:blipFill>
                  <pic:spPr bwMode="auto">
                    <a:xfrm>
                      <a:off x="0" y="0"/>
                      <a:ext cx="4598919" cy="3662998"/>
                    </a:xfrm>
                    <a:prstGeom prst="rect">
                      <a:avLst/>
                    </a:prstGeom>
                    <a:noFill/>
                    <a:ln w="9525">
                      <a:noFill/>
                      <a:miter lim="800000"/>
                      <a:headEnd/>
                      <a:tailEnd/>
                    </a:ln>
                  </pic:spPr>
                </pic:pic>
              </a:graphicData>
            </a:graphic>
          </wp:inline>
        </w:drawing>
      </w:r>
    </w:p>
    <w:p w:rsidR="00D92034" w:rsidRPr="00BD2915" w:rsidRDefault="00D92034" w:rsidP="00D92034">
      <w:pPr>
        <w:rPr>
          <w:rFonts w:ascii="Times New Roman" w:hAnsi="Times New Roman" w:cs="Times New Roman"/>
          <w:sz w:val="16"/>
          <w:szCs w:val="16"/>
        </w:rPr>
      </w:pPr>
      <w:r w:rsidRPr="00BD2915">
        <w:rPr>
          <w:rFonts w:ascii="Times New Roman" w:hAnsi="Times New Roman" w:cs="Times New Roman"/>
          <w:sz w:val="16"/>
          <w:szCs w:val="16"/>
        </w:rPr>
        <w:t>Fuente: Generado por IGH, S.C. con datos piezométricos históricos proporcionados por las direcciones locales Puebla y Tlaxcala y por los Organismos de Cuenca Balsas y Golfo Centro</w:t>
      </w:r>
    </w:p>
    <w:p w:rsidR="00D92034" w:rsidRPr="00BD2915" w:rsidRDefault="00D92034" w:rsidP="00F64347">
      <w:pPr>
        <w:pStyle w:val="figura1cap5"/>
      </w:pPr>
      <w:bookmarkStart w:id="118" w:name="_Toc256703589"/>
      <w:bookmarkStart w:id="119" w:name="_Ref259783768"/>
      <w:bookmarkStart w:id="120" w:name="_Toc259787198"/>
      <w:r w:rsidRPr="00BD2915">
        <w:lastRenderedPageBreak/>
        <w:t>Isobatas en 2008</w:t>
      </w:r>
      <w:bookmarkEnd w:id="118"/>
      <w:bookmarkEnd w:id="119"/>
      <w:bookmarkEnd w:id="120"/>
    </w:p>
    <w:p w:rsidR="00D92034" w:rsidRDefault="008011C2" w:rsidP="00D92034">
      <w:pPr>
        <w:ind w:firstLine="0"/>
        <w:jc w:val="center"/>
      </w:pPr>
      <w:r>
        <w:rPr>
          <w:noProof/>
          <w:lang w:eastAsia="es-MX"/>
        </w:rPr>
        <w:drawing>
          <wp:inline distT="0" distB="0" distL="0" distR="0">
            <wp:extent cx="5349975" cy="4738254"/>
            <wp:effectExtent l="19050" t="0" r="3075" b="0"/>
            <wp:docPr id="41" name="Imagen 36" descr="C:\Huamantla_Libres_Perote\Figuras\Isobatas_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descr="C:\Huamantla_Libres_Perote\Figuras\Isobatas_2008.jpg"/>
                    <pic:cNvPicPr>
                      <a:picLocks noChangeAspect="1" noChangeArrowheads="1"/>
                    </pic:cNvPicPr>
                  </pic:nvPicPr>
                  <pic:blipFill>
                    <a:blip r:embed="rId56" cstate="print"/>
                    <a:srcRect/>
                    <a:stretch>
                      <a:fillRect/>
                    </a:stretch>
                  </pic:blipFill>
                  <pic:spPr bwMode="auto">
                    <a:xfrm>
                      <a:off x="0" y="0"/>
                      <a:ext cx="5376232" cy="4761509"/>
                    </a:xfrm>
                    <a:prstGeom prst="rect">
                      <a:avLst/>
                    </a:prstGeom>
                    <a:noFill/>
                    <a:ln w="9525">
                      <a:noFill/>
                      <a:miter lim="800000"/>
                      <a:headEnd/>
                      <a:tailEnd/>
                    </a:ln>
                  </pic:spPr>
                </pic:pic>
              </a:graphicData>
            </a:graphic>
          </wp:inline>
        </w:drawing>
      </w:r>
    </w:p>
    <w:p w:rsidR="00D92034" w:rsidRPr="00BD2915" w:rsidRDefault="00D92034" w:rsidP="00D92034">
      <w:pPr>
        <w:rPr>
          <w:rFonts w:ascii="Times New Roman" w:hAnsi="Times New Roman" w:cs="Times New Roman"/>
          <w:sz w:val="16"/>
          <w:szCs w:val="16"/>
        </w:rPr>
      </w:pPr>
      <w:r w:rsidRPr="00BD2915">
        <w:rPr>
          <w:rFonts w:ascii="Times New Roman" w:hAnsi="Times New Roman" w:cs="Times New Roman"/>
          <w:sz w:val="16"/>
          <w:szCs w:val="16"/>
        </w:rPr>
        <w:t>Fuente: Generado por IGH, S.C. con datos piezométricos históricos proporcionados por las direcciones locales Puebla y Tlaxcala y por los Organismos de Cuenca Balsas y Golfo Centro</w:t>
      </w:r>
    </w:p>
    <w:p w:rsidR="00D92034" w:rsidRPr="00BD2915" w:rsidRDefault="00D92034" w:rsidP="00D92034">
      <w:r w:rsidRPr="00BD2915">
        <w:t xml:space="preserve">Los planos de curvas de igual profundidad al nivel estático se utilizan básicamente en la prospección hidrogeológica para determinar zonas factibles para perforación de pozos a bajo costo. En este acuífero somero se visualiza que las zonas donde el agua se encuentra a 5 m de profundidad se ubican en la porción centro del valle (color azul claro), mientras que las zonas con profundidades al nivel estático mayores se presentan hacia el pie de las sierras que bordean al valle, siendo críticas 15 km al NE de la Ciudad de Huamantla en donde la profundidad al nivel estático llega a alcanzar los 135 m de profundidad, esto significa que en este mismo sitio el nivel estático descendió 5 m en términos reales con respecto al año 1996. Otra zona en donde la profundidad al nivel estático se encuentra a gran profundidad es en la porción norte del acuífero Libres-Oriental en la localidad de </w:t>
      </w:r>
      <w:proofErr w:type="spellStart"/>
      <w:r w:rsidRPr="00BD2915">
        <w:t>Xaltipanapa</w:t>
      </w:r>
      <w:proofErr w:type="spellEnd"/>
      <w:r w:rsidRPr="00BD2915">
        <w:t xml:space="preserve"> municipio de Tepeyahualco en donde se registra un piezómetro con profundidad al nivel estático de 205 m en 2008; mientras que para 1996 la profundidad era de 190 m. Por su parte en la localidad de San Antonio las Cuchillas, municipio de </w:t>
      </w:r>
      <w:proofErr w:type="spellStart"/>
      <w:r w:rsidRPr="00BD2915">
        <w:t>Aljojuca</w:t>
      </w:r>
      <w:proofErr w:type="spellEnd"/>
      <w:r w:rsidRPr="00BD2915">
        <w:t xml:space="preserve"> se registra una profundidad al nivel estático en 2008 de 160 m, siendo en 1996 de 110 m </w:t>
      </w:r>
      <w:r w:rsidRPr="00BD2915">
        <w:lastRenderedPageBreak/>
        <w:t>para el mismo sitio. La configuración de la profundidad al Nivel estático, se verifica que es directamente proporcional a la elevación del terreno, de tal forma que conforme avanzamos del centro del valle hacia la periferia en cualquier sentido la elevación del terreno aumenta y de la misma forma aumenta la profundidad al nivel estático.</w:t>
      </w:r>
    </w:p>
    <w:p w:rsidR="00D92034" w:rsidRPr="00BD2915" w:rsidRDefault="00D92034" w:rsidP="008011C2">
      <w:pPr>
        <w:outlineLvl w:val="0"/>
        <w:rPr>
          <w:b/>
        </w:rPr>
      </w:pPr>
      <w:r w:rsidRPr="00BD2915">
        <w:rPr>
          <w:b/>
        </w:rPr>
        <w:t>Curvas de igual elevación al nivel estático en 1996 (</w:t>
      </w:r>
      <w:proofErr w:type="spellStart"/>
      <w:r w:rsidRPr="00BD2915">
        <w:rPr>
          <w:b/>
        </w:rPr>
        <w:t>Isopiezas</w:t>
      </w:r>
      <w:proofErr w:type="spellEnd"/>
      <w:r w:rsidRPr="00BD2915">
        <w:rPr>
          <w:b/>
        </w:rPr>
        <w:t>).</w:t>
      </w:r>
    </w:p>
    <w:p w:rsidR="00D92034" w:rsidRPr="00BD2915" w:rsidRDefault="00D92034" w:rsidP="00D92034">
      <w:r w:rsidRPr="00BD2915">
        <w:t xml:space="preserve">Para calcular la elevación del nivel estático primeramente se tuvo que calcular la elevación del brocal de cada uno de los pozos con dato de piezometría del año 1996. La elevación de cada uno de los brocales de la red </w:t>
      </w:r>
      <w:proofErr w:type="spellStart"/>
      <w:r w:rsidRPr="00BD2915">
        <w:t>piezómetrica</w:t>
      </w:r>
      <w:proofErr w:type="spellEnd"/>
      <w:r w:rsidRPr="00BD2915">
        <w:t xml:space="preserve"> del sistema acuífero Huamantla-Libres-Oriental-Perote fue proporcionada por las direcciones locales de Puebla y Tlaxcala, así como por los organismos de cuenca Balsas y Golfo Centro, una vez obtenida la elevación del brocal se le restó a ésta la profundidad al nivel estático, obteniendo de este modo la elevación al nivel estático; posteriormente estos datos fueron procesados con el software </w:t>
      </w:r>
      <w:proofErr w:type="spellStart"/>
      <w:r w:rsidRPr="00BD2915">
        <w:t>Surfer</w:t>
      </w:r>
      <w:proofErr w:type="spellEnd"/>
      <w:r w:rsidRPr="00BD2915">
        <w:t xml:space="preserve"> para obtener las curvas de igual elevación al nivel estático para el año 1996 (</w:t>
      </w:r>
      <w:r w:rsidR="00BE2961">
        <w:rPr>
          <w:color w:val="00B050"/>
        </w:rPr>
        <w:fldChar w:fldCharType="begin"/>
      </w:r>
      <w:r>
        <w:instrText xml:space="preserve"> REF _Ref259784120 \r \h </w:instrText>
      </w:r>
      <w:r w:rsidR="00BE2961">
        <w:rPr>
          <w:color w:val="00B050"/>
        </w:rPr>
      </w:r>
      <w:r w:rsidR="00BE2961">
        <w:rPr>
          <w:color w:val="00B050"/>
        </w:rPr>
        <w:fldChar w:fldCharType="separate"/>
      </w:r>
      <w:r w:rsidR="001C36B4">
        <w:t>0</w:t>
      </w:r>
      <w:r w:rsidR="00BE2961">
        <w:rPr>
          <w:color w:val="00B050"/>
        </w:rPr>
        <w:fldChar w:fldCharType="end"/>
      </w:r>
      <w:r w:rsidRPr="00BD2915">
        <w:t>)</w:t>
      </w:r>
    </w:p>
    <w:p w:rsidR="00D92034" w:rsidRPr="00BD2915" w:rsidRDefault="00D92034" w:rsidP="00D92034">
      <w:r w:rsidRPr="00BD2915">
        <w:t>Para el año 1996 se tiene un buen panorama de las direcciones de flujo del agua subterránea ya que se realizaron una buena cantidad de mediciones piezométricas, siendo la dirección del flujo subterráneo de norte a sur en la zona de Huamantla, cuando el flujo subterráneo llega al centro del valle justo donde se ubica la laguna de El Carmen, parte del flujo era descargado a través de la laguna por evaporación y parte continuaba su flujo hacia el NE, es decir con dirección al acuífero de Perote-</w:t>
      </w:r>
      <w:r w:rsidR="00106565">
        <w:t>Zalayeta</w:t>
      </w:r>
      <w:r w:rsidRPr="00BD2915">
        <w:t xml:space="preserve">; otra porción muy pequeña del flujo subterráneo salía hacia el acuífero de Valle de Tecamachalco. El flujo subterráneo en la zona de Perote – </w:t>
      </w:r>
      <w:r w:rsidR="00106565">
        <w:t>Zalayeta</w:t>
      </w:r>
      <w:r w:rsidRPr="00BD2915">
        <w:t xml:space="preserve"> salía horizontalmente hacia el acuífero de Martínez de la Torre – </w:t>
      </w:r>
      <w:proofErr w:type="spellStart"/>
      <w:r w:rsidRPr="00BD2915">
        <w:t>Nautla</w:t>
      </w:r>
      <w:proofErr w:type="spellEnd"/>
      <w:r w:rsidRPr="00BD2915">
        <w:t xml:space="preserve">. También se observa una pequeña entrada de agua subterránea procedente del acuífero Alto </w:t>
      </w:r>
      <w:proofErr w:type="spellStart"/>
      <w:r w:rsidRPr="00BD2915">
        <w:t>Atoyac</w:t>
      </w:r>
      <w:proofErr w:type="spellEnd"/>
      <w:r w:rsidRPr="00BD2915">
        <w:t xml:space="preserve"> hacia el acuífero de Huamantla.</w:t>
      </w:r>
    </w:p>
    <w:p w:rsidR="00D92034" w:rsidRDefault="00D92034" w:rsidP="00D92034">
      <w:r w:rsidRPr="00BD2915">
        <w:t xml:space="preserve">Del análisis de la </w:t>
      </w:r>
      <w:r w:rsidR="00BE2961">
        <w:rPr>
          <w:color w:val="00B050"/>
        </w:rPr>
        <w:fldChar w:fldCharType="begin"/>
      </w:r>
      <w:r>
        <w:instrText xml:space="preserve"> REF _Ref259784120 \r \h </w:instrText>
      </w:r>
      <w:r w:rsidR="00BE2961">
        <w:rPr>
          <w:color w:val="00B050"/>
        </w:rPr>
      </w:r>
      <w:r w:rsidR="00BE2961">
        <w:rPr>
          <w:color w:val="00B050"/>
        </w:rPr>
        <w:fldChar w:fldCharType="separate"/>
      </w:r>
      <w:r w:rsidR="001C36B4">
        <w:t>0</w:t>
      </w:r>
      <w:r w:rsidR="00BE2961">
        <w:rPr>
          <w:color w:val="00B050"/>
        </w:rPr>
        <w:fldChar w:fldCharType="end"/>
      </w:r>
      <w:r>
        <w:rPr>
          <w:color w:val="00B050"/>
        </w:rPr>
        <w:t xml:space="preserve"> </w:t>
      </w:r>
      <w:r w:rsidRPr="00BD2915">
        <w:t xml:space="preserve">se verifica que existe una continuidad con los acuíferos Valle de Tecamachalco, Martínez de la Torre – </w:t>
      </w:r>
      <w:proofErr w:type="spellStart"/>
      <w:r w:rsidRPr="00BD2915">
        <w:t>Nautla</w:t>
      </w:r>
      <w:proofErr w:type="spellEnd"/>
      <w:r w:rsidRPr="00BD2915">
        <w:t xml:space="preserve"> y Alto </w:t>
      </w:r>
      <w:proofErr w:type="spellStart"/>
      <w:r w:rsidRPr="00BD2915">
        <w:t>Atoyac</w:t>
      </w:r>
      <w:proofErr w:type="spellEnd"/>
      <w:r w:rsidRPr="00BD2915">
        <w:t xml:space="preserve">, en donde la configuración de las </w:t>
      </w:r>
      <w:proofErr w:type="spellStart"/>
      <w:r w:rsidRPr="00BD2915">
        <w:t>isopiezas</w:t>
      </w:r>
      <w:proofErr w:type="spellEnd"/>
      <w:r w:rsidRPr="00BD2915">
        <w:t xml:space="preserve"> indica salidas por flujo subterráneo horizontal en los dos primeros y una entrada desde el último.</w:t>
      </w:r>
    </w:p>
    <w:p w:rsidR="002F7149" w:rsidRDefault="002F7149">
      <w:pPr>
        <w:spacing w:before="0" w:after="0" w:line="240" w:lineRule="auto"/>
        <w:ind w:firstLine="0"/>
        <w:jc w:val="left"/>
        <w:rPr>
          <w:i/>
          <w:color w:val="214F75"/>
        </w:rPr>
      </w:pPr>
      <w:bookmarkStart w:id="121" w:name="_Toc256703590"/>
      <w:bookmarkStart w:id="122" w:name="_Ref259784120"/>
      <w:bookmarkStart w:id="123" w:name="_Toc259787199"/>
      <w:r>
        <w:br w:type="page"/>
      </w:r>
    </w:p>
    <w:p w:rsidR="00D92034" w:rsidRPr="00BD2915" w:rsidRDefault="00D92034" w:rsidP="00F64347">
      <w:pPr>
        <w:pStyle w:val="figura1cap5"/>
      </w:pPr>
      <w:r w:rsidRPr="00BD2915">
        <w:lastRenderedPageBreak/>
        <w:t>Isobatas en 2008</w:t>
      </w:r>
      <w:bookmarkEnd w:id="121"/>
      <w:bookmarkEnd w:id="122"/>
      <w:bookmarkEnd w:id="123"/>
    </w:p>
    <w:p w:rsidR="00D92034" w:rsidRPr="00BD2915" w:rsidRDefault="008011C2" w:rsidP="00F365F9">
      <w:pPr>
        <w:jc w:val="center"/>
      </w:pPr>
      <w:r>
        <w:rPr>
          <w:noProof/>
          <w:lang w:eastAsia="es-MX"/>
        </w:rPr>
        <w:drawing>
          <wp:inline distT="0" distB="0" distL="0" distR="0">
            <wp:extent cx="5701868" cy="4773880"/>
            <wp:effectExtent l="0" t="0" r="0" b="0"/>
            <wp:docPr id="42" name="Imagen 41" descr="C:\Huamantla_Libres_Perote\Figuras\elev_feb199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descr="C:\Huamantla_Libres_Perote\Figuras\elev_feb1996.wmf"/>
                    <pic:cNvPicPr>
                      <a:picLocks noChangeAspect="1" noChangeArrowheads="1"/>
                    </pic:cNvPicPr>
                  </pic:nvPicPr>
                  <pic:blipFill>
                    <a:blip r:embed="rId57" cstate="print"/>
                    <a:srcRect l="7806"/>
                    <a:stretch>
                      <a:fillRect/>
                    </a:stretch>
                  </pic:blipFill>
                  <pic:spPr bwMode="auto">
                    <a:xfrm>
                      <a:off x="0" y="0"/>
                      <a:ext cx="5711409" cy="4781868"/>
                    </a:xfrm>
                    <a:prstGeom prst="rect">
                      <a:avLst/>
                    </a:prstGeom>
                    <a:noFill/>
                    <a:ln w="9525">
                      <a:noFill/>
                      <a:miter lim="800000"/>
                      <a:headEnd/>
                      <a:tailEnd/>
                    </a:ln>
                  </pic:spPr>
                </pic:pic>
              </a:graphicData>
            </a:graphic>
          </wp:inline>
        </w:drawing>
      </w:r>
    </w:p>
    <w:p w:rsidR="00D92034" w:rsidRPr="00BD2915" w:rsidRDefault="00D92034" w:rsidP="00D92034">
      <w:pPr>
        <w:rPr>
          <w:rFonts w:ascii="Times New Roman" w:hAnsi="Times New Roman" w:cs="Times New Roman"/>
          <w:sz w:val="16"/>
          <w:szCs w:val="16"/>
        </w:rPr>
      </w:pPr>
      <w:r w:rsidRPr="00BD2915">
        <w:rPr>
          <w:rFonts w:ascii="Times New Roman" w:hAnsi="Times New Roman" w:cs="Times New Roman"/>
          <w:sz w:val="16"/>
          <w:szCs w:val="16"/>
        </w:rPr>
        <w:t>Fuente: Generado por IGH, S.C. con datos piezométricos históricos proporcionados por las direcciones locales Puebla y Tlaxcala y por los Organismos de Cuenca Balsas y Golfo Centro</w:t>
      </w:r>
    </w:p>
    <w:p w:rsidR="00D92034" w:rsidRPr="00BD2915" w:rsidRDefault="00D92034" w:rsidP="008011C2">
      <w:pPr>
        <w:outlineLvl w:val="0"/>
        <w:rPr>
          <w:b/>
        </w:rPr>
      </w:pPr>
      <w:r w:rsidRPr="00BD2915">
        <w:rPr>
          <w:b/>
        </w:rPr>
        <w:t>Curvas de igual elevación al nivel estático en 2008 (</w:t>
      </w:r>
      <w:proofErr w:type="spellStart"/>
      <w:r w:rsidRPr="00BD2915">
        <w:rPr>
          <w:b/>
        </w:rPr>
        <w:t>Isopiezas</w:t>
      </w:r>
      <w:proofErr w:type="spellEnd"/>
      <w:r w:rsidRPr="00BD2915">
        <w:rPr>
          <w:b/>
        </w:rPr>
        <w:t>).</w:t>
      </w:r>
    </w:p>
    <w:p w:rsidR="00D92034" w:rsidRPr="00BD2915" w:rsidRDefault="00D92034" w:rsidP="00D92034">
      <w:r w:rsidRPr="00BD2915">
        <w:t xml:space="preserve">Para calcular la elevación del nivel estático se restó a la elevación del brocal, la profundidad al nivel estático; estos datos fueron procesados con el software </w:t>
      </w:r>
      <w:proofErr w:type="spellStart"/>
      <w:r w:rsidRPr="00BD2915">
        <w:t>Surfer</w:t>
      </w:r>
      <w:proofErr w:type="spellEnd"/>
      <w:r w:rsidRPr="00BD2915">
        <w:t xml:space="preserve"> para obtener las curvas de igual elevación del nivel estático para el año 2008 (</w:t>
      </w:r>
      <w:r w:rsidR="00BE2961">
        <w:rPr>
          <w:color w:val="00B050"/>
        </w:rPr>
        <w:fldChar w:fldCharType="begin"/>
      </w:r>
      <w:r>
        <w:instrText xml:space="preserve"> REF _Ref259784275 \r \h </w:instrText>
      </w:r>
      <w:r w:rsidR="00BE2961">
        <w:rPr>
          <w:color w:val="00B050"/>
        </w:rPr>
      </w:r>
      <w:r w:rsidR="00BE2961">
        <w:rPr>
          <w:color w:val="00B050"/>
        </w:rPr>
        <w:fldChar w:fldCharType="separate"/>
      </w:r>
      <w:r w:rsidR="001C36B4">
        <w:t>Figura 5.24</w:t>
      </w:r>
      <w:r w:rsidR="00BE2961">
        <w:rPr>
          <w:color w:val="00B050"/>
        </w:rPr>
        <w:fldChar w:fldCharType="end"/>
      </w:r>
      <w:r w:rsidRPr="00BD2915">
        <w:t>)</w:t>
      </w:r>
    </w:p>
    <w:p w:rsidR="00D92034" w:rsidRPr="00BD2915" w:rsidRDefault="00D92034" w:rsidP="00D92034">
      <w:r w:rsidRPr="00BD2915">
        <w:t xml:space="preserve">La configuración de las </w:t>
      </w:r>
      <w:proofErr w:type="spellStart"/>
      <w:r w:rsidRPr="00BD2915">
        <w:t>isopiezas</w:t>
      </w:r>
      <w:proofErr w:type="spellEnd"/>
      <w:r w:rsidRPr="00BD2915">
        <w:t xml:space="preserve"> del año 2008 en el sistema acuífero Huamantla-Libres-Oriental-Perote indica una dirección preferencial de flujo, siendo esta de norte a sur en la zona de Huamantla; donde se verifica un gradiente hidráulico entre la parte más elevada del nivel estático (porción norte) y la más baja (porción sur) (se tiene una distancia de 13.72 km) de 0.009.</w:t>
      </w:r>
    </w:p>
    <w:p w:rsidR="00D92034" w:rsidRPr="00BD2915" w:rsidRDefault="00D92034" w:rsidP="00D92034">
      <w:r w:rsidRPr="00BD2915">
        <w:t>Para el año 2008 se tiene un buen panorama de las direcciones de flujo del agua subterránea siendo ésta de norte a sur en la zona de Huamantla, cuando el flujo subterráneo llega al centro del valle justo donde se ubica la laguna de El Carmen, la mayor parte del flujo cambia a una dirección SW-NE es decir hacia el acuífero de Perote-</w:t>
      </w:r>
      <w:r w:rsidR="00106565">
        <w:t>Zalayeta</w:t>
      </w:r>
      <w:r w:rsidRPr="00BD2915">
        <w:t xml:space="preserve">; una pequeña parte del flujo sale </w:t>
      </w:r>
      <w:r w:rsidRPr="00BD2915">
        <w:lastRenderedPageBreak/>
        <w:t xml:space="preserve">horizontalmente hacia el acuífero Valle de Tecamachalco. El flujo dentro del acuífero Perote </w:t>
      </w:r>
      <w:r w:rsidR="00106565">
        <w:t>Zalayeta</w:t>
      </w:r>
      <w:r w:rsidRPr="00BD2915">
        <w:t xml:space="preserve"> mantiene la dirección SW-NE para posteriormente salir horizontalmente hacia el acuífero Martínez de la Torre - </w:t>
      </w:r>
      <w:proofErr w:type="spellStart"/>
      <w:r w:rsidRPr="00BD2915">
        <w:t>Nautla</w:t>
      </w:r>
      <w:proofErr w:type="spellEnd"/>
      <w:r w:rsidRPr="00BD2915">
        <w:t xml:space="preserve">. </w:t>
      </w:r>
    </w:p>
    <w:p w:rsidR="00D92034" w:rsidRPr="00BD2915" w:rsidRDefault="00D92034" w:rsidP="00D92034">
      <w:r w:rsidRPr="00BD2915">
        <w:t xml:space="preserve">Del análisis de la </w:t>
      </w:r>
      <w:r w:rsidR="00BE2961">
        <w:rPr>
          <w:color w:val="00B050"/>
        </w:rPr>
        <w:fldChar w:fldCharType="begin"/>
      </w:r>
      <w:r>
        <w:instrText xml:space="preserve"> REF _Ref259784275 \r \h </w:instrText>
      </w:r>
      <w:r w:rsidR="00BE2961">
        <w:rPr>
          <w:color w:val="00B050"/>
        </w:rPr>
      </w:r>
      <w:r w:rsidR="00BE2961">
        <w:rPr>
          <w:color w:val="00B050"/>
        </w:rPr>
        <w:fldChar w:fldCharType="separate"/>
      </w:r>
      <w:r w:rsidR="001C36B4">
        <w:t>Figura 5.24</w:t>
      </w:r>
      <w:r w:rsidR="00BE2961">
        <w:rPr>
          <w:color w:val="00B050"/>
        </w:rPr>
        <w:fldChar w:fldCharType="end"/>
      </w:r>
      <w:r w:rsidRPr="00BD2915">
        <w:rPr>
          <w:color w:val="00B050"/>
        </w:rPr>
        <w:t xml:space="preserve"> </w:t>
      </w:r>
      <w:r w:rsidRPr="00BD2915">
        <w:t>se verifica la presencia de un cono de abatimiento en el centro del valle donde se localiza la comunidad de Jesús Carranza, el cual manifiesta un radio de 5 km de radio. Este cono corre el riesgo de extenderse y unirse al cono de abatimiento que se localiza al suroeste de San Salvador El Seco; de suceder la unión de estos dos conos, provocaría un cambio importante en el flujo regional del agua subterránea, la dirección y el sentido del flujo cambiaría, si actualmente fluye hacia el acuífero Perote-</w:t>
      </w:r>
      <w:r w:rsidR="00106565">
        <w:t>Zalayeta</w:t>
      </w:r>
      <w:r w:rsidRPr="00BD2915">
        <w:t>, éste flujo se invertiría.</w:t>
      </w:r>
    </w:p>
    <w:p w:rsidR="00D92034" w:rsidRPr="00BD2915" w:rsidRDefault="00D92034" w:rsidP="00F64347">
      <w:pPr>
        <w:pStyle w:val="figura1cap5"/>
      </w:pPr>
      <w:bookmarkStart w:id="124" w:name="_Toc256703591"/>
      <w:bookmarkStart w:id="125" w:name="_Ref259784275"/>
      <w:bookmarkStart w:id="126" w:name="_Toc259787200"/>
      <w:r w:rsidRPr="00BD2915">
        <w:t>Isobatas en 2008</w:t>
      </w:r>
      <w:bookmarkEnd w:id="124"/>
      <w:bookmarkEnd w:id="125"/>
      <w:bookmarkEnd w:id="126"/>
    </w:p>
    <w:p w:rsidR="00D92034" w:rsidRPr="00BD2915" w:rsidRDefault="008011C2" w:rsidP="00F365F9">
      <w:pPr>
        <w:jc w:val="center"/>
      </w:pPr>
      <w:r>
        <w:rPr>
          <w:noProof/>
          <w:lang w:eastAsia="es-MX"/>
        </w:rPr>
        <w:drawing>
          <wp:inline distT="0" distB="0" distL="0" distR="0">
            <wp:extent cx="5593159" cy="4714504"/>
            <wp:effectExtent l="0" t="0" r="7541" b="0"/>
            <wp:docPr id="43" name="Imagen 43" descr="C:\Huamantla_Libres_Perote\Figuras\elev_200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C:\Huamantla_Libres_Perote\Figuras\elev_2008.wmf"/>
                    <pic:cNvPicPr>
                      <a:picLocks noChangeAspect="1" noChangeArrowheads="1"/>
                    </pic:cNvPicPr>
                  </pic:nvPicPr>
                  <pic:blipFill>
                    <a:blip r:embed="rId58" cstate="print"/>
                    <a:srcRect l="8179"/>
                    <a:stretch>
                      <a:fillRect/>
                    </a:stretch>
                  </pic:blipFill>
                  <pic:spPr bwMode="auto">
                    <a:xfrm>
                      <a:off x="0" y="0"/>
                      <a:ext cx="5596483" cy="4717306"/>
                    </a:xfrm>
                    <a:prstGeom prst="rect">
                      <a:avLst/>
                    </a:prstGeom>
                    <a:noFill/>
                    <a:ln w="9525">
                      <a:noFill/>
                      <a:miter lim="800000"/>
                      <a:headEnd/>
                      <a:tailEnd/>
                    </a:ln>
                  </pic:spPr>
                </pic:pic>
              </a:graphicData>
            </a:graphic>
          </wp:inline>
        </w:drawing>
      </w:r>
    </w:p>
    <w:p w:rsidR="00D92034" w:rsidRPr="00BD2915" w:rsidRDefault="00D92034" w:rsidP="00D92034">
      <w:pPr>
        <w:rPr>
          <w:rFonts w:ascii="Times New Roman" w:hAnsi="Times New Roman" w:cs="Times New Roman"/>
          <w:sz w:val="16"/>
          <w:szCs w:val="16"/>
        </w:rPr>
      </w:pPr>
      <w:r w:rsidRPr="00BD2915">
        <w:rPr>
          <w:rFonts w:ascii="Times New Roman" w:hAnsi="Times New Roman" w:cs="Times New Roman"/>
          <w:sz w:val="16"/>
          <w:szCs w:val="16"/>
        </w:rPr>
        <w:t>Fuente: Generado por IGH, S.C. con datos piezométricos históricos proporcionados por las direcciones locales Puebla y Tlaxcala y por los Organismos de Cuenca Balsas y Golfo Centro</w:t>
      </w:r>
    </w:p>
    <w:p w:rsidR="00D92034" w:rsidRDefault="00D92034" w:rsidP="00D92034">
      <w:r w:rsidRPr="00BD2915">
        <w:t xml:space="preserve">Del análisis de la </w:t>
      </w:r>
      <w:r w:rsidR="00BE2961">
        <w:rPr>
          <w:color w:val="00B050"/>
        </w:rPr>
        <w:fldChar w:fldCharType="begin"/>
      </w:r>
      <w:r>
        <w:instrText xml:space="preserve"> REF _Ref259784275 \r \h </w:instrText>
      </w:r>
      <w:r w:rsidR="00BE2961">
        <w:rPr>
          <w:color w:val="00B050"/>
        </w:rPr>
      </w:r>
      <w:r w:rsidR="00BE2961">
        <w:rPr>
          <w:color w:val="00B050"/>
        </w:rPr>
        <w:fldChar w:fldCharType="separate"/>
      </w:r>
      <w:r w:rsidR="001C36B4">
        <w:t>Figura 5.24</w:t>
      </w:r>
      <w:r w:rsidR="00BE2961">
        <w:rPr>
          <w:color w:val="00B050"/>
        </w:rPr>
        <w:fldChar w:fldCharType="end"/>
      </w:r>
      <w:r w:rsidRPr="00BD2915">
        <w:t xml:space="preserve"> también se puede definir cuáles son las zonas de recarga por lluvia de este sistema acuífero, la cual viene siendo todas las sierras que limitan al sistema acuífero por: el poniente (Volcán la Malinche), sureste (volcán Pico de Orizaba), Norte y este (Cofre de Perote). Por otro lado las </w:t>
      </w:r>
      <w:proofErr w:type="spellStart"/>
      <w:r w:rsidRPr="00BD2915">
        <w:t>isopiezas</w:t>
      </w:r>
      <w:proofErr w:type="spellEnd"/>
      <w:r w:rsidRPr="00BD2915">
        <w:t xml:space="preserve"> también indican la presencia de una pequeña </w:t>
      </w:r>
      <w:r w:rsidRPr="00BD2915">
        <w:lastRenderedPageBreak/>
        <w:t xml:space="preserve">entrada por flujo subterráneo horizontal, en ésta el agua subterránea fluye del acuífero Alto </w:t>
      </w:r>
      <w:proofErr w:type="spellStart"/>
      <w:r w:rsidRPr="00BD2915">
        <w:t>Atoyac</w:t>
      </w:r>
      <w:proofErr w:type="spellEnd"/>
      <w:r w:rsidRPr="00BD2915">
        <w:t xml:space="preserve"> hacia el sistema acuífero Huamantla-Libres-Oriental-Perote a través de una celda de 1 km de longitud y un espesor saturado de 92 m; por su parte se manifiesta una salida horizontal hacia el acuífero Valle de Tecamachalco a través de una celda de flujo de 3.8 km de ancho y un espesor saturado de 105 m.</w:t>
      </w:r>
    </w:p>
    <w:p w:rsidR="00D92034" w:rsidRPr="00BD2915" w:rsidRDefault="00D92034" w:rsidP="008011C2">
      <w:pPr>
        <w:outlineLvl w:val="0"/>
        <w:rPr>
          <w:b/>
        </w:rPr>
      </w:pPr>
      <w:r w:rsidRPr="00BD2915">
        <w:rPr>
          <w:b/>
        </w:rPr>
        <w:t>Evolución del nivel estático en el periodo 1996-2008</w:t>
      </w:r>
    </w:p>
    <w:p w:rsidR="00D92034" w:rsidRDefault="00D92034" w:rsidP="00D92034">
      <w:r w:rsidRPr="00BD2915">
        <w:t xml:space="preserve">Se configuró la evolución del nivel estático para el periodo 1996-2008 (12 años). Para este periodo se cuenta con 62 pozos que presentan información de la evolución del nivel estático en el periodo considerado. Se procedió hacer la configuración directa en el software </w:t>
      </w:r>
      <w:proofErr w:type="spellStart"/>
      <w:r w:rsidRPr="00BD2915">
        <w:t>Surfer</w:t>
      </w:r>
      <w:proofErr w:type="spellEnd"/>
      <w:r w:rsidRPr="00BD2915">
        <w:t xml:space="preserve">, para posteriormente exportarlos al software </w:t>
      </w:r>
      <w:proofErr w:type="spellStart"/>
      <w:r w:rsidRPr="00BD2915">
        <w:t>arcview</w:t>
      </w:r>
      <w:proofErr w:type="spellEnd"/>
      <w:r w:rsidRPr="00BD2915">
        <w:t xml:space="preserve">; Los resultados de la configuración indican que la zona con abatimientos más críticos se localizan en la porción centro-sur de la zona de estudio entre el cerro El Brujo y Las Derrumbadas, en esta zona junto con la de Ciudad de Libres es donde se presentan los mayores abatimientos del nivel estático, siendo estas de 0.50 a 0.90 m/año. </w:t>
      </w:r>
    </w:p>
    <w:p w:rsidR="00D92034" w:rsidRPr="00BD2915" w:rsidRDefault="00D92034" w:rsidP="00F64347">
      <w:pPr>
        <w:pStyle w:val="figura1cap5"/>
      </w:pPr>
      <w:bookmarkStart w:id="127" w:name="_Toc256703592"/>
      <w:bookmarkStart w:id="128" w:name="_Ref259784346"/>
      <w:bookmarkStart w:id="129" w:name="_Toc259787201"/>
      <w:r w:rsidRPr="00BD2915">
        <w:t>Abatimiento medio anual en el periodo 1996-2008</w:t>
      </w:r>
      <w:bookmarkEnd w:id="127"/>
      <w:bookmarkEnd w:id="128"/>
      <w:bookmarkEnd w:id="129"/>
    </w:p>
    <w:p w:rsidR="00D92034" w:rsidRPr="00BD2915" w:rsidRDefault="008011C2" w:rsidP="00D92034">
      <w:pPr>
        <w:jc w:val="center"/>
      </w:pPr>
      <w:r>
        <w:rPr>
          <w:noProof/>
          <w:lang w:eastAsia="es-MX"/>
        </w:rPr>
        <w:drawing>
          <wp:inline distT="0" distB="0" distL="0" distR="0">
            <wp:extent cx="5388615" cy="4025736"/>
            <wp:effectExtent l="19050" t="0" r="2535" b="0"/>
            <wp:docPr id="44" name="Imagen 45" descr="C:\Huamantla_Libres_Perote\Figuras\Abatimiento_medio_an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C:\Huamantla_Libres_Perote\Figuras\Abatimiento_medio_anual.jpg"/>
                    <pic:cNvPicPr>
                      <a:picLocks noChangeAspect="1" noChangeArrowheads="1"/>
                    </pic:cNvPicPr>
                  </pic:nvPicPr>
                  <pic:blipFill>
                    <a:blip r:embed="rId59" cstate="print"/>
                    <a:srcRect/>
                    <a:stretch>
                      <a:fillRect/>
                    </a:stretch>
                  </pic:blipFill>
                  <pic:spPr bwMode="auto">
                    <a:xfrm>
                      <a:off x="0" y="0"/>
                      <a:ext cx="5388615" cy="4025736"/>
                    </a:xfrm>
                    <a:prstGeom prst="rect">
                      <a:avLst/>
                    </a:prstGeom>
                    <a:noFill/>
                    <a:ln w="9525">
                      <a:noFill/>
                      <a:miter lim="800000"/>
                      <a:headEnd/>
                      <a:tailEnd/>
                    </a:ln>
                  </pic:spPr>
                </pic:pic>
              </a:graphicData>
            </a:graphic>
          </wp:inline>
        </w:drawing>
      </w:r>
    </w:p>
    <w:p w:rsidR="00D92034" w:rsidRDefault="00D92034" w:rsidP="00D92034">
      <w:pPr>
        <w:rPr>
          <w:rFonts w:ascii="Times New Roman" w:hAnsi="Times New Roman" w:cs="Times New Roman"/>
          <w:sz w:val="16"/>
          <w:szCs w:val="16"/>
        </w:rPr>
      </w:pPr>
      <w:r w:rsidRPr="00BD2915">
        <w:rPr>
          <w:rFonts w:ascii="Times New Roman" w:hAnsi="Times New Roman" w:cs="Times New Roman"/>
          <w:sz w:val="16"/>
          <w:szCs w:val="16"/>
        </w:rPr>
        <w:t>Fuente: Generado por IGH, S.C. con datos piezométricos históricos proporcionados por las direcciones locales Puebla y Tlaxcala y por los Organismos de Cuenca Balsas y Golfo Centro</w:t>
      </w:r>
    </w:p>
    <w:p w:rsidR="00D92034" w:rsidRDefault="00D92034" w:rsidP="00D92034">
      <w:r w:rsidRPr="00BD2915">
        <w:t xml:space="preserve">En general toda la zona con información piezométrica resultó con evoluciones negativas, siendo el abatimiento medio ponderada para toda la zona con información piezométrica de 0.37 m/año </w:t>
      </w:r>
      <w:r w:rsidRPr="00BD2915">
        <w:lastRenderedPageBreak/>
        <w:t>(</w:t>
      </w:r>
      <w:r w:rsidR="00BE2961">
        <w:rPr>
          <w:color w:val="00B050"/>
        </w:rPr>
        <w:fldChar w:fldCharType="begin"/>
      </w:r>
      <w:r>
        <w:instrText xml:space="preserve"> REF _Ref259784346 \r \h </w:instrText>
      </w:r>
      <w:r w:rsidR="00BE2961">
        <w:rPr>
          <w:color w:val="00B050"/>
        </w:rPr>
      </w:r>
      <w:r w:rsidR="00BE2961">
        <w:rPr>
          <w:color w:val="00B050"/>
        </w:rPr>
        <w:fldChar w:fldCharType="separate"/>
      </w:r>
      <w:r w:rsidR="001C36B4">
        <w:t>Figura 5.25</w:t>
      </w:r>
      <w:r w:rsidR="00BE2961">
        <w:rPr>
          <w:color w:val="00B050"/>
        </w:rPr>
        <w:fldChar w:fldCharType="end"/>
      </w:r>
      <w:r w:rsidRPr="00BD2915">
        <w:t>), de 0.345 m/año en el acuífero de Huamantla, de 0.321 m/año en el de Libres – Oriental y de 0.227 m/año en el de Perote-</w:t>
      </w:r>
      <w:r w:rsidR="00106565">
        <w:t>Zalayeta</w:t>
      </w:r>
      <w:r w:rsidRPr="00BD2915">
        <w:t>.</w:t>
      </w:r>
    </w:p>
    <w:p w:rsidR="00565FAF" w:rsidRDefault="00565FAF" w:rsidP="008D35B9">
      <w:pPr>
        <w:pStyle w:val="Ttulo3"/>
      </w:pPr>
      <w:r>
        <w:tab/>
      </w:r>
      <w:bookmarkStart w:id="130" w:name="_Toc283886462"/>
      <w:r>
        <w:t>Calidad de agua subterránea</w:t>
      </w:r>
      <w:bookmarkEnd w:id="130"/>
    </w:p>
    <w:p w:rsidR="003E3178" w:rsidRDefault="003E3178" w:rsidP="003E3178">
      <w:r>
        <w:t xml:space="preserve">En términos generales, la salinidad del agua subterránea en la cuenca de Oriental es baja, debido a que en ellas predominan las rocas de origen volcánico, las cuales son más resistentes al ataque químico del agua. La concentración salina en el agua del subsuelo aumenta de las sierras circundantes hacia las depresiones centrales, y es menor de 400 ppm, excepto en las áreas lacustres de El Carmen y </w:t>
      </w:r>
      <w:proofErr w:type="spellStart"/>
      <w:r>
        <w:t>Tepeyehualco</w:t>
      </w:r>
      <w:proofErr w:type="spellEnd"/>
      <w:r>
        <w:t>, donde alcanza valores de 1,000 ppm, a causa de la presencia de depósitos salinos producto de la evaporación. En las mismas áreas, el agua subterránea contiene Boro y otros elementos químicos disueltos, en concentraciones superiores a las normas respectivas. (UNITECA, 1997).</w:t>
      </w:r>
    </w:p>
    <w:p w:rsidR="003E3178" w:rsidRDefault="003E3178" w:rsidP="003E3178">
      <w:r>
        <w:t>En diferente estudio, GICO (1996) establece que e</w:t>
      </w:r>
      <w:r w:rsidRPr="00A125D2">
        <w:t>n la zona estudiada, la salinidad del agua subterránea varía entre menos de 100 y cerca de 2,600 ppm</w:t>
      </w:r>
      <w:r>
        <w:t xml:space="preserve">. </w:t>
      </w:r>
      <w:r w:rsidRPr="00A125D2">
        <w:t xml:space="preserve">Los valores menores que 100 ppm corresponden a manantiales localizados en la sierra de </w:t>
      </w:r>
      <w:proofErr w:type="spellStart"/>
      <w:r w:rsidRPr="00A125D2">
        <w:t>Citlaltepetl</w:t>
      </w:r>
      <w:proofErr w:type="spellEnd"/>
      <w:r w:rsidRPr="00A125D2">
        <w:t xml:space="preserve">, que se suponen asociados a acuíferos “colgados”. En diferentes zonas varía en los rangos siguientes: de 200 a 500 ppm en la de Huamantla, de 400 a 600 ppm en la de El Carmen, de 100 a 1,600 ppm en la de Buenos Aires-Serdán, de 300 a 2,500 ppm en la de Tepeyahualco, de 300 a 600 en la de Libres-Oriental y de 200 a 350 en la de Perote. Destaca la salinidad de 1,000 a 1,800 ppm registrada en captaciones ubicadas en las estribaciones de los cerros Derrumbadas y El Pinto, así como del </w:t>
      </w:r>
      <w:proofErr w:type="spellStart"/>
      <w:r w:rsidRPr="00A125D2">
        <w:t>axalapasco</w:t>
      </w:r>
      <w:proofErr w:type="spellEnd"/>
      <w:r w:rsidRPr="00A125D2">
        <w:t xml:space="preserve"> </w:t>
      </w:r>
      <w:proofErr w:type="spellStart"/>
      <w:r w:rsidRPr="00A125D2">
        <w:t>Alchichica</w:t>
      </w:r>
      <w:proofErr w:type="spellEnd"/>
      <w:r w:rsidRPr="00A125D2">
        <w:t>, proveniente de las riolitas que lo conforman.</w:t>
      </w:r>
      <w:r>
        <w:t xml:space="preserve"> </w:t>
      </w:r>
      <w:r w:rsidRPr="003B184B">
        <w:t xml:space="preserve">La salinidad del agua de lagos, </w:t>
      </w:r>
      <w:proofErr w:type="spellStart"/>
      <w:r w:rsidRPr="003B184B">
        <w:t>axalapascos</w:t>
      </w:r>
      <w:proofErr w:type="spellEnd"/>
      <w:r w:rsidRPr="003B184B">
        <w:t xml:space="preserve"> y norias localizadas en las áreas lacustres, es de 1,300 a 2,600 ppm, debido a la evaporación y a la presencia de depósitos </w:t>
      </w:r>
      <w:proofErr w:type="spellStart"/>
      <w:r w:rsidRPr="003B184B">
        <w:t>evaporíticos</w:t>
      </w:r>
      <w:proofErr w:type="spellEnd"/>
      <w:r w:rsidRPr="003B184B">
        <w:t xml:space="preserve"> en el relleno.  </w:t>
      </w:r>
    </w:p>
    <w:p w:rsidR="003E3178" w:rsidRDefault="003E3178" w:rsidP="003E3178">
      <w:r>
        <w:t>En términos de concentración iónica el tipo más común de agua es: mixta carbonatada y sulfatada-mixta. La concentración de bicarbonatos varía espacialmente en un rango de 100 a más de 1,900 ppm con distribución similar a la salinidad; e</w:t>
      </w:r>
      <w:r w:rsidRPr="008E48E6">
        <w:t>n general, es menor que 150 ppm e</w:t>
      </w:r>
      <w:r>
        <w:t>n las partes altas del acuífero,</w:t>
      </w:r>
      <w:r w:rsidRPr="008E48E6">
        <w:t xml:space="preserve"> aumenta hacia aguas abajo, y alcanza sus valores mayores en las porciones central y nororiental de la cuenca (áreas de los cerros Pinto-Las Derrumbadas y Zona Tepeyahualco).</w:t>
      </w:r>
      <w:r>
        <w:t xml:space="preserve"> Para el caso del magnesio, las concentraciones varían de entre </w:t>
      </w:r>
      <w:r w:rsidRPr="008E48E6">
        <w:t>10 a 230 ppm, con distribución relativa similar a la de los elementos: el contenido es menor que 20 ppm en las partes altas de valles y llanuras</w:t>
      </w:r>
      <w:r>
        <w:t>,</w:t>
      </w:r>
      <w:r w:rsidRPr="008E48E6">
        <w:t xml:space="preserve"> aumenta hacia aguas abajo, y presenta los valores mayores en las inmediaciones de los cerros Pinto y Las Derrumbadas y en la Zona Tepeyahualco.  </w:t>
      </w:r>
      <w:r>
        <w:t xml:space="preserve">El contenido de calcio oscilan entre 10 a poco más de 200 ppm: las máximas concentraciones están ubicadas en la porción oriental de la zona en cuestión, en las áreas aledañas a los poblados de Pozo Guerrero, </w:t>
      </w:r>
      <w:proofErr w:type="spellStart"/>
      <w:r>
        <w:t>Maravalle</w:t>
      </w:r>
      <w:proofErr w:type="spellEnd"/>
      <w:r>
        <w:t xml:space="preserve"> y San Luis </w:t>
      </w:r>
      <w:proofErr w:type="spellStart"/>
      <w:r>
        <w:t>Atexcac</w:t>
      </w:r>
      <w:proofErr w:type="spellEnd"/>
      <w:r>
        <w:t>, con valores de 130 a 200 ppm. Los contenidos menores de este ion se localizan en casi toda la cuenca, con valores de 10 a 60 ppm.</w:t>
      </w:r>
    </w:p>
    <w:p w:rsidR="003E3178" w:rsidRDefault="003E3178" w:rsidP="003E3178">
      <w:r>
        <w:tab/>
        <w:t xml:space="preserve">Como complemento de los análisis del agua subterránea, GICO analizó el agua de 10 muestras, con determinaciones especiales -fierro, boro, arsénico, </w:t>
      </w:r>
      <w:proofErr w:type="spellStart"/>
      <w:r>
        <w:t>floruro</w:t>
      </w:r>
      <w:proofErr w:type="spellEnd"/>
      <w:r>
        <w:t xml:space="preserve"> y manganeso, mostrando que ninguno de estos iones rebasó las concentraciones máximas permitidas, para cualesquiera de los usos del agua subterránea, situación que es contraria a la establecida por UNITECA (1997).</w:t>
      </w:r>
    </w:p>
    <w:p w:rsidR="003E3178" w:rsidRDefault="003E3178" w:rsidP="003E3178">
      <w:r>
        <w:lastRenderedPageBreak/>
        <w:t xml:space="preserve">En términos </w:t>
      </w:r>
      <w:proofErr w:type="spellStart"/>
      <w:r>
        <w:t>hidrogeoquímicos</w:t>
      </w:r>
      <w:proofErr w:type="spellEnd"/>
      <w:r>
        <w:t>, se establece que:</w:t>
      </w:r>
    </w:p>
    <w:p w:rsidR="003E3178" w:rsidRDefault="003E3178" w:rsidP="003E3178">
      <w:pPr>
        <w:numPr>
          <w:ilvl w:val="0"/>
          <w:numId w:val="85"/>
        </w:numPr>
      </w:pPr>
      <w:r>
        <w:t>La baja salinidad del agua subterránea se atribuye a la rápida circulación del agua a consecuencia de la elevada capacidad transmisora del acuífero, y en segundo plano, a la resistencia al intemperismo químico que presentan las rocas de origen volcánico,</w:t>
      </w:r>
    </w:p>
    <w:p w:rsidR="003E3178" w:rsidRDefault="003E3178" w:rsidP="003E3178">
      <w:pPr>
        <w:numPr>
          <w:ilvl w:val="0"/>
          <w:numId w:val="85"/>
        </w:numPr>
      </w:pPr>
      <w:r>
        <w:t xml:space="preserve">A partir de la configuración espacial de las concentraciones de salinidad y otros elementos, se establece que la circulación natural del agua en el subsuelo es de las partes altas de la cuenca hacia el centro de la misma. </w:t>
      </w:r>
    </w:p>
    <w:p w:rsidR="003E3178" w:rsidRDefault="003E3178" w:rsidP="003E3178">
      <w:pPr>
        <w:numPr>
          <w:ilvl w:val="0"/>
          <w:numId w:val="85"/>
        </w:numPr>
      </w:pPr>
      <w:r>
        <w:t>Con base en la concentración de bicarbonatos en el agua del subsuelo, se confirma de que se trata de agua recientemente infiltrada. Las principales fuentes para este compuesto son: el aire ambiental y porciones de rocas carbonatadas que forman parte estructural del acuífero.</w:t>
      </w:r>
    </w:p>
    <w:p w:rsidR="003E3178" w:rsidRDefault="003E3178" w:rsidP="003E3178">
      <w:pPr>
        <w:numPr>
          <w:ilvl w:val="0"/>
          <w:numId w:val="85"/>
        </w:numPr>
      </w:pPr>
      <w:r>
        <w:t>Las fuentes de magnesio son los minerales de rocas ígneas básicas (</w:t>
      </w:r>
      <w:proofErr w:type="spellStart"/>
      <w:r>
        <w:t>ferromagnesianos</w:t>
      </w:r>
      <w:proofErr w:type="spellEnd"/>
      <w:proofErr w:type="gramStart"/>
      <w:r>
        <w:t>) .</w:t>
      </w:r>
      <w:proofErr w:type="gramEnd"/>
    </w:p>
    <w:p w:rsidR="003E3178" w:rsidRDefault="003E3178" w:rsidP="003E3178">
      <w:pPr>
        <w:numPr>
          <w:ilvl w:val="0"/>
          <w:numId w:val="85"/>
        </w:numPr>
      </w:pPr>
      <w:r>
        <w:t>El calcio procede de la disolución de los feldespatos cálcicos incrustados en las rocas ígneas y de los carbonatos de rocas calcáreas.</w:t>
      </w:r>
    </w:p>
    <w:p w:rsidR="003E3178" w:rsidRDefault="003E3178" w:rsidP="003E3178">
      <w:pPr>
        <w:numPr>
          <w:ilvl w:val="0"/>
          <w:numId w:val="85"/>
        </w:numPr>
      </w:pPr>
      <w:r>
        <w:t xml:space="preserve">La elevada concentración de sales en las zonas lacustres son producto de la evaporación del agua subterránea y su tránsito por depósitos </w:t>
      </w:r>
      <w:proofErr w:type="spellStart"/>
      <w:r>
        <w:t>evaporíticos</w:t>
      </w:r>
      <w:proofErr w:type="spellEnd"/>
      <w:r>
        <w:t xml:space="preserve">. </w:t>
      </w:r>
    </w:p>
    <w:p w:rsidR="00F64347" w:rsidRPr="00BD2915" w:rsidRDefault="00F64347" w:rsidP="00F64347">
      <w:r w:rsidRPr="00BD2915">
        <w:t xml:space="preserve">En términos de calidad de agua subterránea en relación a su uso, GICO estableció que a partir de su campaña de muestreo y análisis de calidad de agua, el líquido es apto para consumo humano, desde el punto de vista geoquímico; sin embargo, dado que las norias y pozos carecen de medidas sanitarias, muchas de estas estructuras presentan contaminación biológica con concentraciones fuera de la norma aplicable. </w:t>
      </w:r>
    </w:p>
    <w:p w:rsidR="00F64347" w:rsidRPr="00BD2915" w:rsidRDefault="00F64347" w:rsidP="00F64347">
      <w:r w:rsidRPr="00BD2915">
        <w:t>En cuanto a la potencialidad para uso agrícola, se establece que aun cuando se presentan altos contenidos de sales, la concentración de sodio es baja, por lo que es adecuada para cultivos tolerantes a la salinidad, exceptuando a una pequeña porción de la zona Tepeyahualco.</w:t>
      </w:r>
    </w:p>
    <w:p w:rsidR="00F64347" w:rsidRPr="00BD2915" w:rsidRDefault="00F64347" w:rsidP="00F64347">
      <w:r w:rsidRPr="00BD2915">
        <w:t>Dada las características necesarias tanto para uso pecuario como industrial, el agua subterránea de la cuenca de Oriental es totalmente utilizable</w:t>
      </w:r>
      <w:r>
        <w:t>.</w:t>
      </w:r>
    </w:p>
    <w:p w:rsidR="00565FAF" w:rsidRDefault="00565FAF" w:rsidP="008D35B9">
      <w:pPr>
        <w:pStyle w:val="Ttulo3"/>
      </w:pPr>
      <w:r>
        <w:tab/>
      </w:r>
      <w:bookmarkStart w:id="131" w:name="_Toc283886463"/>
      <w:r>
        <w:t>Condiciones de explotación del agua subterránea</w:t>
      </w:r>
      <w:bookmarkEnd w:id="131"/>
    </w:p>
    <w:p w:rsidR="00C31855" w:rsidRPr="00BD2915" w:rsidRDefault="00C31855" w:rsidP="00C31855">
      <w:r w:rsidRPr="00BD2915">
        <w:t>La evolución de la explotación del agua subterránea dentro de la zona de estudio ha sido gradual, en 1967 se extraía aproximadamente 67.8 hm³ en los tres acuíferos, 62% en Libres-Oriental, 36% en Huamantla y 2% en el acuífero de Perote-</w:t>
      </w:r>
      <w:r w:rsidR="00106565">
        <w:t>Zalayeta</w:t>
      </w:r>
      <w:r w:rsidRPr="00BD2915">
        <w:t>; en ese entonces el 87.8% de la extracción total se destinaba al uso agrícola, el 11.1% se utilizaba para abastecimiento público y solo el 0.8% lo utilizaba la industria muy incipiente en ese año. Actualmente (2009) la extracción es 5.3 veces mayor a la del año 1967, de tal forma que en conjunto de los tres acuíferos en estudio se está extrayendo 362.9 hm³/año; continuando el acuífero de Libres – Oriental con la mayor extracción del sistema, con 227.8 hm³, 5 veces mayor que en 1968, mientras que el acuífero de Huamantla extrae un volumen 4.6 veces mayor al de 1967, actualmente extrae 112.8 hm³/año; finalmente, el acuífero de Perote-</w:t>
      </w:r>
      <w:r w:rsidR="00106565">
        <w:t>Zalayeta</w:t>
      </w:r>
      <w:r w:rsidRPr="00BD2915">
        <w:t xml:space="preserve"> extrae un volumen 20 veces mayor al que extraía en </w:t>
      </w:r>
      <w:r w:rsidRPr="00BD2915">
        <w:lastRenderedPageBreak/>
        <w:t>1967; en la actualidad extrae un volumen de 22.4 hm³/año. Por uso destinado del agua subterránea, tenemos que el uso agrícola sigue siendo en la actualidad el mayor usuario del agua, ya que del total extraído del sistema, el 86.5% es utilizado para el riego de sembradíos, en segundo lugar se encuentra el agua para abastecimiento público-urbano con el 12.0%, mientras que las industrias utilizan en conjunto el 1.1% del volumen total, finalmente el uso para abrevadero utiliza el 0.4% del total.</w:t>
      </w:r>
    </w:p>
    <w:p w:rsidR="00C31855" w:rsidRPr="00BD2915" w:rsidRDefault="00C31855" w:rsidP="00190AE7">
      <w:pPr>
        <w:pStyle w:val="figura1cap5"/>
      </w:pPr>
      <w:bookmarkStart w:id="132" w:name="_Toc259787202"/>
      <w:r w:rsidRPr="00BD2915">
        <w:t>Evolución de la extracción de agua subterránea por acuífero en el periodo 1967-2009</w:t>
      </w:r>
      <w:bookmarkEnd w:id="132"/>
    </w:p>
    <w:p w:rsidR="00C31855" w:rsidRPr="00BD2915" w:rsidRDefault="008011C2" w:rsidP="00C31855">
      <w:pPr>
        <w:jc w:val="center"/>
      </w:pPr>
      <w:r>
        <w:rPr>
          <w:noProof/>
          <w:lang w:eastAsia="es-MX"/>
        </w:rPr>
        <w:drawing>
          <wp:inline distT="0" distB="0" distL="0" distR="0">
            <wp:extent cx="4291692" cy="3045717"/>
            <wp:effectExtent l="1905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srcRect/>
                    <a:stretch>
                      <a:fillRect/>
                    </a:stretch>
                  </pic:blipFill>
                  <pic:spPr bwMode="auto">
                    <a:xfrm>
                      <a:off x="0" y="0"/>
                      <a:ext cx="4292416" cy="3046231"/>
                    </a:xfrm>
                    <a:prstGeom prst="rect">
                      <a:avLst/>
                    </a:prstGeom>
                    <a:noFill/>
                    <a:ln w="9525">
                      <a:noFill/>
                      <a:miter lim="800000"/>
                      <a:headEnd/>
                      <a:tailEnd/>
                    </a:ln>
                  </pic:spPr>
                </pic:pic>
              </a:graphicData>
            </a:graphic>
          </wp:inline>
        </w:drawing>
      </w:r>
    </w:p>
    <w:p w:rsidR="00C31855" w:rsidRDefault="00C31855" w:rsidP="008011C2">
      <w:pPr>
        <w:outlineLvl w:val="0"/>
        <w:rPr>
          <w:rFonts w:ascii="Times New Roman" w:hAnsi="Times New Roman" w:cs="Times New Roman"/>
          <w:sz w:val="16"/>
          <w:szCs w:val="16"/>
        </w:rPr>
      </w:pPr>
      <w:r w:rsidRPr="00BD2915">
        <w:rPr>
          <w:rFonts w:ascii="Times New Roman" w:hAnsi="Times New Roman" w:cs="Times New Roman"/>
          <w:sz w:val="16"/>
          <w:szCs w:val="16"/>
        </w:rPr>
        <w:t>Fuente: Generado por IGH, S.C. con datos de extracciones de diferentes años y estimaciones y  proyecciones de las mismas</w:t>
      </w:r>
    </w:p>
    <w:p w:rsidR="00C31855" w:rsidRPr="00BD2915" w:rsidRDefault="00C31855" w:rsidP="00190AE7">
      <w:pPr>
        <w:pStyle w:val="figura1cap5"/>
      </w:pPr>
      <w:bookmarkStart w:id="133" w:name="_Toc259787203"/>
      <w:r w:rsidRPr="00BD2915">
        <w:t>Evolución de la extracción de agua subterránea por uso destinado en el periodo 1967-2009</w:t>
      </w:r>
      <w:bookmarkEnd w:id="133"/>
    </w:p>
    <w:p w:rsidR="00C31855" w:rsidRDefault="008011C2" w:rsidP="00C31855">
      <w:pPr>
        <w:jc w:val="center"/>
      </w:pPr>
      <w:r>
        <w:rPr>
          <w:noProof/>
          <w:lang w:eastAsia="es-MX"/>
        </w:rPr>
        <w:drawing>
          <wp:inline distT="0" distB="0" distL="0" distR="0">
            <wp:extent cx="4441372" cy="2651052"/>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srcRect/>
                    <a:stretch>
                      <a:fillRect/>
                    </a:stretch>
                  </pic:blipFill>
                  <pic:spPr bwMode="auto">
                    <a:xfrm>
                      <a:off x="0" y="0"/>
                      <a:ext cx="4446520" cy="2654125"/>
                    </a:xfrm>
                    <a:prstGeom prst="rect">
                      <a:avLst/>
                    </a:prstGeom>
                    <a:noFill/>
                    <a:ln w="9525">
                      <a:noFill/>
                      <a:miter lim="800000"/>
                      <a:headEnd/>
                      <a:tailEnd/>
                    </a:ln>
                  </pic:spPr>
                </pic:pic>
              </a:graphicData>
            </a:graphic>
          </wp:inline>
        </w:drawing>
      </w:r>
    </w:p>
    <w:p w:rsidR="00565FAF" w:rsidRDefault="00565FAF" w:rsidP="008D35B9">
      <w:pPr>
        <w:pStyle w:val="Ttulo2"/>
      </w:pPr>
      <w:bookmarkStart w:id="134" w:name="_Toc283886464"/>
      <w:r>
        <w:lastRenderedPageBreak/>
        <w:t>Agua Superficial</w:t>
      </w:r>
      <w:bookmarkEnd w:id="134"/>
    </w:p>
    <w:p w:rsidR="00565FAF" w:rsidRDefault="00565FAF" w:rsidP="008D35B9">
      <w:pPr>
        <w:pStyle w:val="Ttulo3"/>
      </w:pPr>
      <w:r>
        <w:tab/>
      </w:r>
      <w:bookmarkStart w:id="135" w:name="_Toc283886465"/>
      <w:r>
        <w:t>Hidrografía</w:t>
      </w:r>
      <w:bookmarkEnd w:id="135"/>
    </w:p>
    <w:p w:rsidR="00190AE7" w:rsidRDefault="00190AE7" w:rsidP="00190AE7">
      <w:r>
        <w:t xml:space="preserve">La zona de estudio se encuentra dentro de la Región Hidrológica No 18 Balsas, cuenca del río </w:t>
      </w:r>
      <w:proofErr w:type="spellStart"/>
      <w:r>
        <w:t>Atoyac</w:t>
      </w:r>
      <w:proofErr w:type="spellEnd"/>
      <w:r>
        <w:t xml:space="preserve">, sin embargo, cabe destacar que a pesar de pertenecer a una región hidrológica, la cuenca se considera como cerrada (endorreica) por lo que el agua de lluvia no tiene un drenaje natural que drene al mar. </w:t>
      </w:r>
    </w:p>
    <w:p w:rsidR="00190AE7" w:rsidRDefault="00190AE7" w:rsidP="00190AE7">
      <w:r w:rsidRPr="00363478">
        <w:tab/>
        <w:t>El escurrimiento superficial es transitorio y escaso, lo cual refleja la elevada capacidad de infiltración de las unidades geológicas que afloran en la misma</w:t>
      </w:r>
      <w:r>
        <w:t xml:space="preserve"> (GICO, 1996), dichas unidades presentan depósitos piroclásticos de edad reciente y conjuntamente con la marcada estacionalidad de la lluvia no permiten la existencia de escurrimientos superficiales perennes. </w:t>
      </w:r>
    </w:p>
    <w:p w:rsidR="00190AE7" w:rsidRDefault="00190AE7" w:rsidP="00190AE7">
      <w:pPr>
        <w:pStyle w:val="figura1cap5"/>
      </w:pPr>
      <w:bookmarkStart w:id="136" w:name="_Ref258927294"/>
      <w:bookmarkStart w:id="137" w:name="_Toc259787204"/>
      <w:r>
        <w:t>Red hidrográfica del acuífero Huamantla-Libres Oriental-Perote</w:t>
      </w:r>
      <w:bookmarkEnd w:id="136"/>
      <w:bookmarkEnd w:id="137"/>
    </w:p>
    <w:p w:rsidR="00190AE7" w:rsidRDefault="008011C2" w:rsidP="00190AE7">
      <w:pPr>
        <w:jc w:val="center"/>
      </w:pPr>
      <w:r>
        <w:rPr>
          <w:noProof/>
          <w:lang w:eastAsia="es-MX"/>
        </w:rPr>
        <w:drawing>
          <wp:inline distT="0" distB="0" distL="0" distR="0">
            <wp:extent cx="5480258" cy="4191989"/>
            <wp:effectExtent l="19050" t="0" r="6142" b="0"/>
            <wp:docPr id="47" name="Imagen 47" descr="PM_HOLP_Hidrograf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M_HOLP_Hidrografia"/>
                    <pic:cNvPicPr>
                      <a:picLocks noChangeAspect="1" noChangeArrowheads="1"/>
                    </pic:cNvPicPr>
                  </pic:nvPicPr>
                  <pic:blipFill>
                    <a:blip r:embed="rId62" cstate="print"/>
                    <a:srcRect l="2509" t="2994" r="1930" b="2499"/>
                    <a:stretch>
                      <a:fillRect/>
                    </a:stretch>
                  </pic:blipFill>
                  <pic:spPr bwMode="auto">
                    <a:xfrm>
                      <a:off x="0" y="0"/>
                      <a:ext cx="5477829" cy="4190131"/>
                    </a:xfrm>
                    <a:prstGeom prst="rect">
                      <a:avLst/>
                    </a:prstGeom>
                    <a:noFill/>
                    <a:ln w="9525">
                      <a:noFill/>
                      <a:miter lim="800000"/>
                      <a:headEnd/>
                      <a:tailEnd/>
                    </a:ln>
                  </pic:spPr>
                </pic:pic>
              </a:graphicData>
            </a:graphic>
          </wp:inline>
        </w:drawing>
      </w:r>
    </w:p>
    <w:p w:rsidR="00190AE7" w:rsidRPr="00372587" w:rsidRDefault="00190AE7" w:rsidP="00190AE7">
      <w:r w:rsidRPr="00372587">
        <w:t xml:space="preserve">Los escurrimientos </w:t>
      </w:r>
      <w:r>
        <w:t xml:space="preserve">temporales </w:t>
      </w:r>
      <w:r w:rsidRPr="00372587">
        <w:t>son arroyos pequeños limitados a la ladera occidental de</w:t>
      </w:r>
      <w:r>
        <w:t>l</w:t>
      </w:r>
      <w:r w:rsidRPr="00372587">
        <w:t xml:space="preserve"> Cofre de Perote</w:t>
      </w:r>
      <w:r>
        <w:t xml:space="preserve"> y </w:t>
      </w:r>
      <w:r w:rsidRPr="00372587">
        <w:t>Pico de Orizaba</w:t>
      </w:r>
      <w:r>
        <w:t>,</w:t>
      </w:r>
      <w:r w:rsidRPr="00372587">
        <w:t xml:space="preserve"> y a las laderas oriental y norte del volcán La Malinche</w:t>
      </w:r>
      <w:r>
        <w:t xml:space="preserve"> (</w:t>
      </w:r>
      <w:r w:rsidR="00BE2961">
        <w:fldChar w:fldCharType="begin"/>
      </w:r>
      <w:r>
        <w:instrText xml:space="preserve"> REF _Ref258927294 \r \h </w:instrText>
      </w:r>
      <w:r w:rsidR="00BE2961">
        <w:fldChar w:fldCharType="separate"/>
      </w:r>
      <w:r w:rsidR="001C36B4">
        <w:t>Figura 5.28</w:t>
      </w:r>
      <w:r w:rsidR="00BE2961">
        <w:fldChar w:fldCharType="end"/>
      </w:r>
      <w:r>
        <w:t>)</w:t>
      </w:r>
      <w:r w:rsidRPr="00372587">
        <w:t xml:space="preserve">. </w:t>
      </w:r>
      <w:r>
        <w:t xml:space="preserve">Éstos </w:t>
      </w:r>
      <w:r w:rsidRPr="00372587">
        <w:t xml:space="preserve">se asocian a abanicos aluviales en las laderas de </w:t>
      </w:r>
      <w:r>
        <w:t>dichos</w:t>
      </w:r>
      <w:r w:rsidRPr="00372587">
        <w:t xml:space="preserve"> volcanes. También existen otros arroyos de </w:t>
      </w:r>
      <w:r>
        <w:t xml:space="preserve">carácter </w:t>
      </w:r>
      <w:r w:rsidRPr="00372587">
        <w:t xml:space="preserve">temporal en las laderas de los cerros Alto, San Gabriel y El Conejo, así como en las laderas del Cordón La </w:t>
      </w:r>
      <w:proofErr w:type="spellStart"/>
      <w:r w:rsidRPr="00372587">
        <w:t>Vigea</w:t>
      </w:r>
      <w:proofErr w:type="spellEnd"/>
      <w:r w:rsidRPr="00372587">
        <w:t xml:space="preserve"> Alta, en la parte norte de la cuenca.</w:t>
      </w:r>
    </w:p>
    <w:p w:rsidR="00190AE7" w:rsidRDefault="00190AE7" w:rsidP="00190AE7">
      <w:r w:rsidRPr="00372587">
        <w:lastRenderedPageBreak/>
        <w:t xml:space="preserve">Los arroyos </w:t>
      </w:r>
      <w:r>
        <w:t>temporales</w:t>
      </w:r>
      <w:r w:rsidRPr="00372587">
        <w:t xml:space="preserve"> </w:t>
      </w:r>
      <w:r>
        <w:t xml:space="preserve">considerados </w:t>
      </w:r>
      <w:r w:rsidRPr="00372587">
        <w:t>más sobresalientes son La Caldera y</w:t>
      </w:r>
      <w:r>
        <w:t xml:space="preserve"> su continuación </w:t>
      </w:r>
      <w:r w:rsidRPr="00372587">
        <w:t xml:space="preserve"> </w:t>
      </w:r>
      <w:proofErr w:type="spellStart"/>
      <w:r w:rsidRPr="00372587">
        <w:t>Xonecuila</w:t>
      </w:r>
      <w:proofErr w:type="spellEnd"/>
      <w:r w:rsidRPr="00372587">
        <w:t>, los cuales se originan en el parteaguas occidental de la cuenca, recibiendo el agua de los pequeños arroyos</w:t>
      </w:r>
      <w:r>
        <w:t xml:space="preserve"> de las laderas de La Malinche y vertiendo sus escurrimientos a la Laguna Totolcingo (El Carmen) Otras corrientes consideradas en estudios previos son las corrientes intermitentes o esporádicos de </w:t>
      </w:r>
      <w:proofErr w:type="spellStart"/>
      <w:r>
        <w:t>Teoacac</w:t>
      </w:r>
      <w:proofErr w:type="spellEnd"/>
      <w:r>
        <w:t xml:space="preserve">, Grande y </w:t>
      </w:r>
      <w:proofErr w:type="spellStart"/>
      <w:r>
        <w:t>Altzayanca</w:t>
      </w:r>
      <w:proofErr w:type="spellEnd"/>
      <w:r>
        <w:t>, que vierten sus aguas tanto a la laguna Totolcingo como a la de El Salado.</w:t>
      </w:r>
    </w:p>
    <w:p w:rsidR="00190AE7" w:rsidRDefault="00190AE7" w:rsidP="00190AE7">
      <w:r w:rsidRPr="00372587">
        <w:t xml:space="preserve">Los arroyos </w:t>
      </w:r>
      <w:proofErr w:type="spellStart"/>
      <w:r w:rsidRPr="00372587">
        <w:t>Quetzalapa</w:t>
      </w:r>
      <w:proofErr w:type="spellEnd"/>
      <w:r w:rsidRPr="00372587">
        <w:t xml:space="preserve"> y Piedra Grande que bajan por la ladera occidental de la sierra Cofre de Perote-Pico de Orizaba se pierden al llegar a la llanura de la cuenca debido a que su agua se infiltra hacia el subsuelo.</w:t>
      </w:r>
      <w:r>
        <w:t xml:space="preserve"> </w:t>
      </w:r>
      <w:r w:rsidRPr="00372587">
        <w:t>Todos los demás escurrimientos de temporal desaparecen por la infiltración de sus aguas mucho antes de llegar a la parte más baja de la cuenca</w:t>
      </w:r>
      <w:r>
        <w:t>,</w:t>
      </w:r>
      <w:r w:rsidRPr="00372587">
        <w:t xml:space="preserve"> que corresponde a las lagunas de Totolcingo y Tepeyahualco</w:t>
      </w:r>
      <w:r>
        <w:t xml:space="preserve">. En la actualidad permanece el cauce del ya extinto río Salado que conectaba  ambos lagos. </w:t>
      </w:r>
      <w:r w:rsidRPr="00580C82">
        <w:t>Debido a las características hidrológicas, no existen estaciones hidrométricas.</w:t>
      </w:r>
    </w:p>
    <w:p w:rsidR="00190AE7" w:rsidRDefault="00190AE7" w:rsidP="00190AE7">
      <w:pPr>
        <w:pStyle w:val="figura1cap5"/>
      </w:pPr>
      <w:bookmarkStart w:id="138" w:name="_Ref258926493"/>
      <w:bookmarkStart w:id="139" w:name="_Toc259787205"/>
      <w:r>
        <w:t>Laguna Totolcingo (El Carmen), año 2000-izquierda- y año 2</w:t>
      </w:r>
      <w:r w:rsidR="00720F66">
        <w:t>0</w:t>
      </w:r>
      <w:r>
        <w:t>10 –derecha-.</w:t>
      </w:r>
      <w:bookmarkEnd w:id="138"/>
      <w:bookmarkEnd w:id="139"/>
    </w:p>
    <w:p w:rsidR="00190AE7" w:rsidRDefault="008011C2" w:rsidP="00190AE7">
      <w:pPr>
        <w:ind w:firstLine="0"/>
      </w:pPr>
      <w:r>
        <w:rPr>
          <w:noProof/>
          <w:lang w:eastAsia="es-MX"/>
        </w:rPr>
        <w:drawing>
          <wp:inline distT="0" distB="0" distL="0" distR="0">
            <wp:extent cx="6143625" cy="3200400"/>
            <wp:effectExtent l="19050" t="0" r="9525" b="0"/>
            <wp:docPr id="48" name="Imagen 48" descr="lago Totolcingo2000 y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go Totolcingo2000 y 2010"/>
                    <pic:cNvPicPr>
                      <a:picLocks noChangeAspect="1" noChangeArrowheads="1"/>
                    </pic:cNvPicPr>
                  </pic:nvPicPr>
                  <pic:blipFill>
                    <a:blip r:embed="rId63" cstate="print"/>
                    <a:srcRect/>
                    <a:stretch>
                      <a:fillRect/>
                    </a:stretch>
                  </pic:blipFill>
                  <pic:spPr bwMode="auto">
                    <a:xfrm>
                      <a:off x="0" y="0"/>
                      <a:ext cx="6143625" cy="3200400"/>
                    </a:xfrm>
                    <a:prstGeom prst="rect">
                      <a:avLst/>
                    </a:prstGeom>
                    <a:noFill/>
                    <a:ln w="9525">
                      <a:noFill/>
                      <a:miter lim="800000"/>
                      <a:headEnd/>
                      <a:tailEnd/>
                    </a:ln>
                  </pic:spPr>
                </pic:pic>
              </a:graphicData>
            </a:graphic>
          </wp:inline>
        </w:drawing>
      </w:r>
    </w:p>
    <w:p w:rsidR="00190AE7" w:rsidRDefault="00190AE7" w:rsidP="00190AE7">
      <w:r>
        <w:t xml:space="preserve">Algunos estudios hacen mención de la existencia de manantiales en las partes altas de los tres volcanes y en el cerro San Gabriel, así como El Carmen, en las cercanías de la estación Los Manantiales, cerca de Ciudad Cerdán. Otro manantial se describe en la confluencia de la ciudad de Libres. </w:t>
      </w:r>
    </w:p>
    <w:p w:rsidR="00190AE7" w:rsidRDefault="00190AE7" w:rsidP="00190AE7">
      <w:r>
        <w:t xml:space="preserve">Debido a la configuración de relieve en la cuenca de Oriental, las zonas de menor elevación ubican a los dos cuerpos de agua de mayores dimensiones: Totolcingo (El Carmen) y El Salado (Tepeyahualco), el primero de ellos, con un área de embalse muy reducida con respecto a la original, y el segundo, prácticamente seco la mayor parte del año, por lo que actualmente estos lagos son llanuras de inundación, y a consecuencia de las características geológicas, poca </w:t>
      </w:r>
      <w:r>
        <w:lastRenderedPageBreak/>
        <w:t xml:space="preserve">aireación e intercambio de aguas, contienen cantidades considerables de salitre (episódicos). Siendo el lago de Totolcingo el de mayores dimensiones, se reportan testimonios confiables de que en la década de los 60’s ambos cuerpos de agua ocupaban extensiones mucho mayores a las actuales, lo que permite apoyar la hipótesis de que la precipitación anual era mayor en esos años. Una comparación de embases se presenta en la </w:t>
      </w:r>
      <w:r w:rsidR="00BE2961">
        <w:fldChar w:fldCharType="begin"/>
      </w:r>
      <w:r>
        <w:instrText xml:space="preserve"> REF _Ref258926493 \r \h </w:instrText>
      </w:r>
      <w:r w:rsidR="00BE2961">
        <w:fldChar w:fldCharType="separate"/>
      </w:r>
      <w:r w:rsidR="001C36B4">
        <w:t>Figura 5.29</w:t>
      </w:r>
      <w:r w:rsidR="00BE2961">
        <w:fldChar w:fldCharType="end"/>
      </w:r>
      <w:r>
        <w:t>.</w:t>
      </w:r>
    </w:p>
    <w:p w:rsidR="00190AE7" w:rsidRPr="004802AE" w:rsidRDefault="00190AE7" w:rsidP="00190AE7">
      <w:r w:rsidRPr="004802AE">
        <w:t xml:space="preserve">Existen tres hipótesis acerca del origen </w:t>
      </w:r>
      <w:r>
        <w:t xml:space="preserve">de las lagunas descritas por diferentes investigadores.  </w:t>
      </w:r>
      <w:proofErr w:type="spellStart"/>
      <w:r w:rsidRPr="004802AE">
        <w:t>Knoblich</w:t>
      </w:r>
      <w:proofErr w:type="spellEnd"/>
      <w:r w:rsidRPr="004802AE">
        <w:t xml:space="preserve"> (1978) opina que el fondo de las lagunas se encuentra por debajo del nivel medio del manto freático, por lo tanto su profundidad varía de acuerdo a la fluctuación del nivel de las aguas subterráneas. Reyes (1979) y </w:t>
      </w:r>
      <w:proofErr w:type="spellStart"/>
      <w:r w:rsidRPr="004802AE">
        <w:t>Gasca</w:t>
      </w:r>
      <w:proofErr w:type="spellEnd"/>
      <w:r w:rsidRPr="004802AE">
        <w:t xml:space="preserve"> (1981), por otro lado, explican que las lagunas se forman por la acumulación del agua pluvial debido a la presencia de una capa arcillosa impermeable. Sin embargo, </w:t>
      </w:r>
      <w:proofErr w:type="spellStart"/>
      <w:r w:rsidRPr="004802AE">
        <w:t>Cruickshank</w:t>
      </w:r>
      <w:proofErr w:type="spellEnd"/>
      <w:r w:rsidRPr="004802AE">
        <w:t xml:space="preserve"> (1992) indica que se forman principalmente como resultado del afloramiento del agua subterránea en la época de lluvias del año.</w:t>
      </w:r>
    </w:p>
    <w:p w:rsidR="00190AE7" w:rsidRDefault="00190AE7" w:rsidP="00190AE7">
      <w:r>
        <w:t xml:space="preserve">Como se ha mencionado anteriormente, las aportaciones que reciben provienen de la lluvia que precipita directamente sobre ellos, escurrimientos locales (a excepción de los arroyos </w:t>
      </w:r>
      <w:proofErr w:type="spellStart"/>
      <w:r>
        <w:t>Xonecuila</w:t>
      </w:r>
      <w:proofErr w:type="spellEnd"/>
      <w:r>
        <w:t xml:space="preserve"> y La Malinche), y por las descargas del acuífero superficial. En las épocas de estiaje su nivel se supone representativo de la superficie freática regional. </w:t>
      </w:r>
    </w:p>
    <w:p w:rsidR="00190AE7" w:rsidRDefault="00190AE7" w:rsidP="00190AE7">
      <w:r>
        <w:t xml:space="preserve">Además de los cuerpos de agua anteriormente considerados, existen cráteres aislados –de formación tipo </w:t>
      </w:r>
      <w:proofErr w:type="spellStart"/>
      <w:r>
        <w:t>Maar</w:t>
      </w:r>
      <w:proofErr w:type="spellEnd"/>
      <w:r>
        <w:t>-, con lagos interiores (</w:t>
      </w:r>
      <w:proofErr w:type="spellStart"/>
      <w:r>
        <w:t>axalapascos</w:t>
      </w:r>
      <w:proofErr w:type="spellEnd"/>
      <w:r>
        <w:t xml:space="preserve">) como son: </w:t>
      </w:r>
      <w:proofErr w:type="spellStart"/>
      <w:r>
        <w:t>Alchichica</w:t>
      </w:r>
      <w:proofErr w:type="spellEnd"/>
      <w:r>
        <w:t xml:space="preserve">, Preciosa (Las Minas), </w:t>
      </w:r>
      <w:proofErr w:type="spellStart"/>
      <w:r>
        <w:t>Quechulac</w:t>
      </w:r>
      <w:proofErr w:type="spellEnd"/>
      <w:r>
        <w:t xml:space="preserve">, </w:t>
      </w:r>
      <w:proofErr w:type="spellStart"/>
      <w:r>
        <w:t>Atexcac</w:t>
      </w:r>
      <w:proofErr w:type="spellEnd"/>
      <w:r>
        <w:t xml:space="preserve">, </w:t>
      </w:r>
      <w:proofErr w:type="spellStart"/>
      <w:r>
        <w:t>Jalapasquillo</w:t>
      </w:r>
      <w:proofErr w:type="spellEnd"/>
      <w:r>
        <w:t xml:space="preserve">, </w:t>
      </w:r>
      <w:proofErr w:type="spellStart"/>
      <w:r>
        <w:t>Tepextil</w:t>
      </w:r>
      <w:proofErr w:type="spellEnd"/>
      <w:r>
        <w:t xml:space="preserve">, Buena Vista, </w:t>
      </w:r>
      <w:proofErr w:type="spellStart"/>
      <w:r>
        <w:t>Aljojuca</w:t>
      </w:r>
      <w:proofErr w:type="spellEnd"/>
      <w:r>
        <w:t xml:space="preserve"> y </w:t>
      </w:r>
      <w:proofErr w:type="spellStart"/>
      <w:r>
        <w:t>Tecuitlapa</w:t>
      </w:r>
      <w:proofErr w:type="spellEnd"/>
      <w:r>
        <w:t xml:space="preserve">, </w:t>
      </w:r>
      <w:r w:rsidRPr="004802AE">
        <w:t>que tienen agua de forma permanente</w:t>
      </w:r>
      <w:r>
        <w:t xml:space="preserve">, más sin embargo, se reportan descenso de niveles de agua, que no pueden ser cuantificados por la falta de instrumentación histórica en cada uno de ellos. </w:t>
      </w:r>
    </w:p>
    <w:p w:rsidR="00190AE7" w:rsidRDefault="00190AE7" w:rsidP="00190AE7">
      <w:r w:rsidRPr="00864228">
        <w:t>En conjunto cubren un área de 4.13 km</w:t>
      </w:r>
      <w:r>
        <w:rPr>
          <w:vertAlign w:val="superscript"/>
        </w:rPr>
        <w:t>2</w:t>
      </w:r>
      <w:r w:rsidRPr="00864228">
        <w:t xml:space="preserve">. Las características del agua de estos lagos evidencian el origen subterráneo de ésta, ya que por su interrelación con las rocas y sedimentos subterráneos, el agua presenta diversos grados de salinidad y composición química </w:t>
      </w:r>
      <w:r>
        <w:t xml:space="preserve">que varían de un lago a otro. En la </w:t>
      </w:r>
      <w:r w:rsidR="00BE2961">
        <w:fldChar w:fldCharType="begin"/>
      </w:r>
      <w:r>
        <w:instrText xml:space="preserve"> REF _Ref258926148 \r \h </w:instrText>
      </w:r>
      <w:r w:rsidR="00BE2961">
        <w:fldChar w:fldCharType="separate"/>
      </w:r>
      <w:r w:rsidR="001C36B4">
        <w:t>Tabla 5.15</w:t>
      </w:r>
      <w:r w:rsidR="00BE2961">
        <w:fldChar w:fldCharType="end"/>
      </w:r>
      <w:r>
        <w:t xml:space="preserve"> se presenta información general de cada uno de ellos. </w:t>
      </w:r>
    </w:p>
    <w:p w:rsidR="00190AE7" w:rsidRPr="00BF52ED" w:rsidRDefault="00190AE7" w:rsidP="008011C2">
      <w:pPr>
        <w:pStyle w:val="Tabla1cap5"/>
        <w:outlineLvl w:val="0"/>
      </w:pPr>
      <w:bookmarkStart w:id="140" w:name="_Ref258926148"/>
      <w:bookmarkStart w:id="141" w:name="_Toc259787150"/>
      <w:r>
        <w:t>Infraestructura hidráulica en la cuenca de Oriental</w:t>
      </w:r>
      <w:bookmarkEnd w:id="140"/>
      <w:bookmarkEnd w:id="141"/>
      <w:r>
        <w:t xml:space="preserve"> </w:t>
      </w:r>
    </w:p>
    <w:tbl>
      <w:tblPr>
        <w:tblW w:w="0" w:type="auto"/>
        <w:tblBorders>
          <w:top w:val="single" w:sz="12" w:space="0" w:color="008000"/>
          <w:bottom w:val="single" w:sz="12" w:space="0" w:color="008000"/>
        </w:tblBorders>
        <w:tblLook w:val="04A0"/>
      </w:tblPr>
      <w:tblGrid>
        <w:gridCol w:w="2376"/>
        <w:gridCol w:w="2268"/>
        <w:gridCol w:w="1636"/>
        <w:gridCol w:w="1812"/>
        <w:gridCol w:w="1812"/>
      </w:tblGrid>
      <w:tr w:rsidR="00190AE7" w:rsidRPr="00FD39A5" w:rsidTr="00CA2E44">
        <w:trPr>
          <w:tblHeader/>
        </w:trPr>
        <w:tc>
          <w:tcPr>
            <w:tcW w:w="2376" w:type="dxa"/>
            <w:tcBorders>
              <w:bottom w:val="single" w:sz="6" w:space="0" w:color="008000"/>
            </w:tcBorders>
            <w:shd w:val="clear" w:color="auto" w:fill="auto"/>
            <w:vAlign w:val="center"/>
          </w:tcPr>
          <w:p w:rsidR="00190AE7" w:rsidRPr="00FD39A5" w:rsidRDefault="00190AE7" w:rsidP="00CA2E44">
            <w:pPr>
              <w:spacing w:before="0" w:after="0"/>
              <w:ind w:firstLine="0"/>
              <w:jc w:val="center"/>
              <w:rPr>
                <w:sz w:val="18"/>
                <w:szCs w:val="18"/>
              </w:rPr>
            </w:pPr>
            <w:r w:rsidRPr="00FD39A5">
              <w:rPr>
                <w:sz w:val="18"/>
                <w:szCs w:val="18"/>
              </w:rPr>
              <w:t>Cuerpo de Agua</w:t>
            </w:r>
          </w:p>
        </w:tc>
        <w:tc>
          <w:tcPr>
            <w:tcW w:w="2268" w:type="dxa"/>
            <w:tcBorders>
              <w:bottom w:val="single" w:sz="6" w:space="0" w:color="008000"/>
            </w:tcBorders>
            <w:shd w:val="clear" w:color="auto" w:fill="auto"/>
          </w:tcPr>
          <w:p w:rsidR="00190AE7" w:rsidRPr="00FD39A5" w:rsidRDefault="00190AE7" w:rsidP="00CA2E44">
            <w:pPr>
              <w:spacing w:before="0" w:after="0"/>
              <w:ind w:firstLine="0"/>
              <w:jc w:val="center"/>
              <w:rPr>
                <w:sz w:val="18"/>
                <w:szCs w:val="18"/>
              </w:rPr>
            </w:pPr>
            <w:r w:rsidRPr="00FD39A5">
              <w:rPr>
                <w:sz w:val="18"/>
                <w:szCs w:val="18"/>
              </w:rPr>
              <w:t>Volumen almacenado (Mm</w:t>
            </w:r>
            <w:r w:rsidRPr="00FD39A5">
              <w:rPr>
                <w:sz w:val="18"/>
                <w:szCs w:val="18"/>
                <w:vertAlign w:val="superscript"/>
              </w:rPr>
              <w:t>3</w:t>
            </w:r>
            <w:r w:rsidRPr="00FD39A5">
              <w:rPr>
                <w:sz w:val="18"/>
                <w:szCs w:val="18"/>
              </w:rPr>
              <w:t>) (1)</w:t>
            </w:r>
          </w:p>
        </w:tc>
        <w:tc>
          <w:tcPr>
            <w:tcW w:w="1636" w:type="dxa"/>
            <w:tcBorders>
              <w:bottom w:val="single" w:sz="6" w:space="0" w:color="008000"/>
            </w:tcBorders>
            <w:shd w:val="clear" w:color="auto" w:fill="auto"/>
          </w:tcPr>
          <w:p w:rsidR="00190AE7" w:rsidRPr="00FD39A5" w:rsidRDefault="00190AE7" w:rsidP="00CA2E44">
            <w:pPr>
              <w:spacing w:before="0" w:after="0"/>
              <w:ind w:firstLine="0"/>
              <w:jc w:val="center"/>
              <w:rPr>
                <w:sz w:val="18"/>
                <w:szCs w:val="18"/>
              </w:rPr>
            </w:pPr>
            <w:r w:rsidRPr="00FD39A5">
              <w:rPr>
                <w:sz w:val="18"/>
                <w:szCs w:val="18"/>
              </w:rPr>
              <w:t>Área superficial (km</w:t>
            </w:r>
            <w:r w:rsidRPr="00FD39A5">
              <w:rPr>
                <w:sz w:val="18"/>
                <w:szCs w:val="18"/>
                <w:vertAlign w:val="superscript"/>
              </w:rPr>
              <w:t>2</w:t>
            </w:r>
            <w:r w:rsidRPr="00FD39A5">
              <w:rPr>
                <w:sz w:val="18"/>
                <w:szCs w:val="18"/>
              </w:rPr>
              <w:t>)  (2)</w:t>
            </w:r>
          </w:p>
        </w:tc>
        <w:tc>
          <w:tcPr>
            <w:tcW w:w="1812" w:type="dxa"/>
            <w:tcBorders>
              <w:bottom w:val="single" w:sz="6" w:space="0" w:color="008000"/>
            </w:tcBorders>
            <w:shd w:val="clear" w:color="auto" w:fill="auto"/>
          </w:tcPr>
          <w:p w:rsidR="00190AE7" w:rsidRPr="00FD39A5" w:rsidRDefault="00190AE7" w:rsidP="00CA2E44">
            <w:pPr>
              <w:spacing w:before="0" w:after="0"/>
              <w:ind w:firstLine="0"/>
              <w:jc w:val="center"/>
              <w:rPr>
                <w:sz w:val="18"/>
                <w:szCs w:val="18"/>
              </w:rPr>
            </w:pPr>
            <w:r w:rsidRPr="00FD39A5">
              <w:rPr>
                <w:sz w:val="18"/>
                <w:szCs w:val="18"/>
              </w:rPr>
              <w:t>Volumen (m</w:t>
            </w:r>
            <w:r w:rsidRPr="00FD39A5">
              <w:rPr>
                <w:sz w:val="18"/>
                <w:szCs w:val="18"/>
                <w:vertAlign w:val="superscript"/>
              </w:rPr>
              <w:t>3</w:t>
            </w:r>
            <w:r w:rsidRPr="00FD39A5">
              <w:rPr>
                <w:sz w:val="18"/>
                <w:szCs w:val="18"/>
              </w:rPr>
              <w:t>x10</w:t>
            </w:r>
            <w:r w:rsidRPr="00FD39A5">
              <w:rPr>
                <w:sz w:val="18"/>
                <w:szCs w:val="18"/>
                <w:vertAlign w:val="superscript"/>
              </w:rPr>
              <w:t>6</w:t>
            </w:r>
            <w:r w:rsidRPr="00FD39A5">
              <w:rPr>
                <w:sz w:val="18"/>
                <w:szCs w:val="18"/>
              </w:rPr>
              <w:t xml:space="preserve">) </w:t>
            </w:r>
            <w:r w:rsidRPr="00FD39A5">
              <w:rPr>
                <w:rFonts w:eastAsia="Calibri"/>
                <w:sz w:val="18"/>
                <w:szCs w:val="18"/>
              </w:rPr>
              <w:t>(2)</w:t>
            </w:r>
          </w:p>
        </w:tc>
        <w:tc>
          <w:tcPr>
            <w:tcW w:w="1812" w:type="dxa"/>
            <w:tcBorders>
              <w:bottom w:val="single" w:sz="6" w:space="0" w:color="008000"/>
            </w:tcBorders>
            <w:shd w:val="clear" w:color="auto" w:fill="auto"/>
          </w:tcPr>
          <w:p w:rsidR="00190AE7" w:rsidRPr="00FD39A5" w:rsidRDefault="00190AE7" w:rsidP="00CA2E44">
            <w:pPr>
              <w:spacing w:before="0" w:after="0"/>
              <w:ind w:firstLine="0"/>
              <w:jc w:val="center"/>
              <w:rPr>
                <w:sz w:val="18"/>
                <w:szCs w:val="18"/>
              </w:rPr>
            </w:pPr>
            <w:r w:rsidRPr="00FD39A5">
              <w:rPr>
                <w:sz w:val="18"/>
                <w:szCs w:val="18"/>
              </w:rPr>
              <w:t xml:space="preserve">Profundidad máxima (m) </w:t>
            </w:r>
            <w:r w:rsidRPr="00FD39A5">
              <w:rPr>
                <w:rFonts w:eastAsia="Calibri"/>
                <w:sz w:val="18"/>
                <w:szCs w:val="18"/>
              </w:rPr>
              <w:t>(2)</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sz w:val="18"/>
                <w:szCs w:val="18"/>
              </w:rPr>
              <w:t xml:space="preserve">Laguna de </w:t>
            </w:r>
            <w:proofErr w:type="spellStart"/>
            <w:r w:rsidRPr="00FD39A5">
              <w:rPr>
                <w:sz w:val="18"/>
                <w:szCs w:val="18"/>
              </w:rPr>
              <w:t>Alchichica</w:t>
            </w:r>
            <w:proofErr w:type="spellEnd"/>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4.0</w:t>
            </w: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1.81</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69.9</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64.6</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sz w:val="18"/>
                <w:szCs w:val="18"/>
              </w:rPr>
              <w:t xml:space="preserve">Laguna de </w:t>
            </w:r>
            <w:proofErr w:type="spellStart"/>
            <w:r w:rsidRPr="00FD39A5">
              <w:rPr>
                <w:sz w:val="18"/>
                <w:szCs w:val="18"/>
              </w:rPr>
              <w:t>Aljojuca</w:t>
            </w:r>
            <w:proofErr w:type="spellEnd"/>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5.7</w:t>
            </w: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0.44</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11.6</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50.6</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sz w:val="18"/>
                <w:szCs w:val="18"/>
              </w:rPr>
              <w:t xml:space="preserve">Laguna de </w:t>
            </w:r>
            <w:proofErr w:type="spellStart"/>
            <w:r w:rsidRPr="00FD39A5">
              <w:rPr>
                <w:sz w:val="18"/>
                <w:szCs w:val="18"/>
              </w:rPr>
              <w:t>Atexcac</w:t>
            </w:r>
            <w:proofErr w:type="spellEnd"/>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0.71</w:t>
            </w: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0.29</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6.1</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39.1</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rFonts w:eastAsia="Calibri"/>
                <w:sz w:val="18"/>
                <w:szCs w:val="18"/>
              </w:rPr>
              <w:t>Laguna La Preciosa</w:t>
            </w:r>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1.9</w:t>
            </w: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0.78</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16.2</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45.5</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sz w:val="18"/>
                <w:szCs w:val="18"/>
              </w:rPr>
              <w:t xml:space="preserve">Laguna </w:t>
            </w:r>
            <w:proofErr w:type="spellStart"/>
            <w:r w:rsidRPr="00FD39A5">
              <w:rPr>
                <w:sz w:val="18"/>
                <w:szCs w:val="18"/>
              </w:rPr>
              <w:t>Quechulac</w:t>
            </w:r>
            <w:proofErr w:type="spellEnd"/>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1.5</w:t>
            </w: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0.50</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10.9</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40.0</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sz w:val="18"/>
                <w:szCs w:val="18"/>
              </w:rPr>
              <w:t xml:space="preserve">Laguna </w:t>
            </w:r>
            <w:proofErr w:type="spellStart"/>
            <w:r w:rsidRPr="00FD39A5">
              <w:rPr>
                <w:sz w:val="18"/>
                <w:szCs w:val="18"/>
              </w:rPr>
              <w:t>Tecuitlapa</w:t>
            </w:r>
            <w:proofErr w:type="spellEnd"/>
          </w:p>
        </w:tc>
        <w:tc>
          <w:tcPr>
            <w:tcW w:w="2268" w:type="dxa"/>
            <w:shd w:val="clear" w:color="auto" w:fill="auto"/>
          </w:tcPr>
          <w:p w:rsidR="00190AE7" w:rsidRPr="00FD39A5" w:rsidRDefault="00190AE7" w:rsidP="00CA2E44">
            <w:pPr>
              <w:spacing w:before="0" w:after="0"/>
              <w:ind w:firstLine="0"/>
              <w:jc w:val="center"/>
              <w:rPr>
                <w:sz w:val="18"/>
                <w:szCs w:val="18"/>
              </w:rPr>
            </w:pP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0.26</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0.35</w:t>
            </w:r>
          </w:p>
        </w:tc>
        <w:tc>
          <w:tcPr>
            <w:tcW w:w="1812"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0.5</w:t>
            </w: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sz w:val="18"/>
                <w:szCs w:val="18"/>
              </w:rPr>
              <w:t>Laguna El Salado</w:t>
            </w:r>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32</w:t>
            </w:r>
          </w:p>
        </w:tc>
        <w:tc>
          <w:tcPr>
            <w:tcW w:w="1636" w:type="dxa"/>
            <w:shd w:val="clear" w:color="auto" w:fill="auto"/>
          </w:tcPr>
          <w:p w:rsidR="00190AE7" w:rsidRPr="00FD39A5" w:rsidRDefault="00190AE7" w:rsidP="00CA2E44">
            <w:pPr>
              <w:spacing w:before="0" w:after="0"/>
              <w:ind w:firstLine="0"/>
              <w:jc w:val="center"/>
              <w:rPr>
                <w:sz w:val="18"/>
                <w:szCs w:val="18"/>
              </w:rPr>
            </w:pPr>
          </w:p>
        </w:tc>
        <w:tc>
          <w:tcPr>
            <w:tcW w:w="1812" w:type="dxa"/>
            <w:shd w:val="clear" w:color="auto" w:fill="auto"/>
          </w:tcPr>
          <w:p w:rsidR="00190AE7" w:rsidRPr="00FD39A5" w:rsidRDefault="00190AE7" w:rsidP="00CA2E44">
            <w:pPr>
              <w:spacing w:before="0" w:after="0"/>
              <w:ind w:firstLine="0"/>
              <w:jc w:val="center"/>
              <w:rPr>
                <w:sz w:val="18"/>
                <w:szCs w:val="18"/>
              </w:rPr>
            </w:pPr>
          </w:p>
        </w:tc>
        <w:tc>
          <w:tcPr>
            <w:tcW w:w="1812" w:type="dxa"/>
            <w:shd w:val="clear" w:color="auto" w:fill="auto"/>
          </w:tcPr>
          <w:p w:rsidR="00190AE7" w:rsidRPr="00FD39A5" w:rsidRDefault="00190AE7" w:rsidP="00CA2E44">
            <w:pPr>
              <w:spacing w:before="0" w:after="0"/>
              <w:ind w:firstLine="0"/>
              <w:jc w:val="center"/>
              <w:rPr>
                <w:sz w:val="18"/>
                <w:szCs w:val="18"/>
              </w:rPr>
            </w:pPr>
          </w:p>
        </w:tc>
      </w:tr>
      <w:tr w:rsidR="00190AE7" w:rsidRPr="00FD39A5" w:rsidTr="00CA2E44">
        <w:tc>
          <w:tcPr>
            <w:tcW w:w="2376" w:type="dxa"/>
            <w:shd w:val="clear" w:color="auto" w:fill="auto"/>
          </w:tcPr>
          <w:p w:rsidR="00190AE7" w:rsidRPr="00FD39A5" w:rsidRDefault="00190AE7" w:rsidP="00CA2E44">
            <w:pPr>
              <w:spacing w:before="0" w:after="0"/>
              <w:ind w:firstLine="0"/>
              <w:jc w:val="left"/>
              <w:rPr>
                <w:sz w:val="18"/>
                <w:szCs w:val="18"/>
              </w:rPr>
            </w:pPr>
            <w:r w:rsidRPr="00FD39A5">
              <w:rPr>
                <w:rFonts w:eastAsia="Calibri"/>
                <w:sz w:val="18"/>
                <w:szCs w:val="18"/>
              </w:rPr>
              <w:t>Laguna Totolcingo</w:t>
            </w:r>
          </w:p>
        </w:tc>
        <w:tc>
          <w:tcPr>
            <w:tcW w:w="2268"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40</w:t>
            </w:r>
          </w:p>
        </w:tc>
        <w:tc>
          <w:tcPr>
            <w:tcW w:w="1636" w:type="dxa"/>
            <w:shd w:val="clear" w:color="auto" w:fill="auto"/>
          </w:tcPr>
          <w:p w:rsidR="00190AE7" w:rsidRPr="00FD39A5" w:rsidRDefault="00190AE7" w:rsidP="00CA2E44">
            <w:pPr>
              <w:spacing w:before="0" w:after="0"/>
              <w:ind w:firstLine="0"/>
              <w:jc w:val="center"/>
              <w:rPr>
                <w:sz w:val="18"/>
                <w:szCs w:val="18"/>
              </w:rPr>
            </w:pPr>
            <w:r w:rsidRPr="00FD39A5">
              <w:rPr>
                <w:sz w:val="18"/>
                <w:szCs w:val="18"/>
              </w:rPr>
              <w:t>56.25 (3)</w:t>
            </w:r>
          </w:p>
        </w:tc>
        <w:tc>
          <w:tcPr>
            <w:tcW w:w="1812" w:type="dxa"/>
            <w:shd w:val="clear" w:color="auto" w:fill="auto"/>
          </w:tcPr>
          <w:p w:rsidR="00190AE7" w:rsidRPr="00FD39A5" w:rsidRDefault="00190AE7" w:rsidP="00CA2E44">
            <w:pPr>
              <w:spacing w:before="0" w:after="0"/>
              <w:ind w:firstLine="0"/>
              <w:jc w:val="center"/>
              <w:rPr>
                <w:sz w:val="18"/>
                <w:szCs w:val="18"/>
              </w:rPr>
            </w:pPr>
          </w:p>
        </w:tc>
        <w:tc>
          <w:tcPr>
            <w:tcW w:w="1812" w:type="dxa"/>
            <w:shd w:val="clear" w:color="auto" w:fill="auto"/>
          </w:tcPr>
          <w:p w:rsidR="00190AE7" w:rsidRPr="00FD39A5" w:rsidRDefault="00190AE7" w:rsidP="00CA2E44">
            <w:pPr>
              <w:spacing w:before="0" w:after="0"/>
              <w:ind w:firstLine="0"/>
              <w:jc w:val="center"/>
              <w:rPr>
                <w:sz w:val="18"/>
                <w:szCs w:val="18"/>
              </w:rPr>
            </w:pPr>
          </w:p>
        </w:tc>
      </w:tr>
    </w:tbl>
    <w:p w:rsidR="00190AE7" w:rsidRPr="00ED0826" w:rsidRDefault="00190AE7" w:rsidP="00CA2E44">
      <w:pPr>
        <w:numPr>
          <w:ilvl w:val="0"/>
          <w:numId w:val="87"/>
        </w:numPr>
        <w:spacing w:before="0" w:after="0" w:line="240" w:lineRule="auto"/>
        <w:ind w:left="641" w:hanging="357"/>
        <w:rPr>
          <w:sz w:val="18"/>
          <w:szCs w:val="18"/>
        </w:rPr>
      </w:pPr>
      <w:r w:rsidRPr="00ED0826">
        <w:rPr>
          <w:sz w:val="18"/>
          <w:szCs w:val="18"/>
        </w:rPr>
        <w:t>CONAGUA, 2009. Estadísticas del Agua 2008. Región Hidrológico Administrativa IV Balsas</w:t>
      </w:r>
    </w:p>
    <w:p w:rsidR="00190AE7" w:rsidRDefault="00190AE7" w:rsidP="00CA2E44">
      <w:pPr>
        <w:numPr>
          <w:ilvl w:val="0"/>
          <w:numId w:val="87"/>
        </w:numPr>
        <w:spacing w:before="0" w:after="0" w:line="240" w:lineRule="auto"/>
        <w:ind w:left="641" w:hanging="357"/>
        <w:rPr>
          <w:sz w:val="18"/>
          <w:szCs w:val="18"/>
        </w:rPr>
      </w:pPr>
      <w:r w:rsidRPr="00ED0826">
        <w:rPr>
          <w:sz w:val="18"/>
          <w:szCs w:val="18"/>
        </w:rPr>
        <w:t>Regiones Hidrológicas Prioritarias. Ficha Descriptiva Cuenca Oriental. Publicado por CONABIO</w:t>
      </w:r>
      <w:r>
        <w:rPr>
          <w:sz w:val="18"/>
          <w:szCs w:val="18"/>
        </w:rPr>
        <w:t>, 2008</w:t>
      </w:r>
      <w:r w:rsidRPr="00ED0826">
        <w:rPr>
          <w:sz w:val="18"/>
          <w:szCs w:val="18"/>
        </w:rPr>
        <w:t>.</w:t>
      </w:r>
    </w:p>
    <w:p w:rsidR="00190AE7" w:rsidRDefault="00190AE7" w:rsidP="00CA2E44">
      <w:pPr>
        <w:numPr>
          <w:ilvl w:val="0"/>
          <w:numId w:val="87"/>
        </w:numPr>
        <w:spacing w:before="0" w:after="0" w:line="240" w:lineRule="auto"/>
        <w:ind w:left="641" w:hanging="357"/>
        <w:rPr>
          <w:sz w:val="18"/>
          <w:szCs w:val="18"/>
        </w:rPr>
      </w:pPr>
      <w:r>
        <w:rPr>
          <w:sz w:val="18"/>
          <w:szCs w:val="18"/>
        </w:rPr>
        <w:t xml:space="preserve">Arriola, Morrales, J. </w:t>
      </w:r>
      <w:r w:rsidRPr="00F00537">
        <w:rPr>
          <w:i/>
          <w:sz w:val="18"/>
          <w:szCs w:val="18"/>
        </w:rPr>
        <w:t>Et al</w:t>
      </w:r>
      <w:r>
        <w:rPr>
          <w:sz w:val="18"/>
          <w:szCs w:val="18"/>
        </w:rPr>
        <w:t xml:space="preserve">. </w:t>
      </w:r>
    </w:p>
    <w:p w:rsidR="00AD1AFE" w:rsidRPr="00ED0826" w:rsidRDefault="00AD1AFE" w:rsidP="00AD1AFE">
      <w:pPr>
        <w:spacing w:before="0" w:after="0" w:line="240" w:lineRule="auto"/>
        <w:rPr>
          <w:sz w:val="18"/>
          <w:szCs w:val="18"/>
        </w:rPr>
      </w:pPr>
    </w:p>
    <w:p w:rsidR="00AD1AFE" w:rsidRDefault="00AD1AFE">
      <w:pPr>
        <w:spacing w:before="0" w:after="0" w:line="240" w:lineRule="auto"/>
        <w:ind w:firstLine="0"/>
        <w:jc w:val="left"/>
      </w:pPr>
    </w:p>
    <w:p w:rsidR="00AD1AFE" w:rsidRDefault="002F7149" w:rsidP="00AD1AFE">
      <w:pPr>
        <w:pStyle w:val="Ttulo3"/>
      </w:pPr>
      <w:r>
        <w:lastRenderedPageBreak/>
        <w:tab/>
      </w:r>
      <w:bookmarkStart w:id="142" w:name="_Toc283886466"/>
      <w:r>
        <w:t xml:space="preserve">Uso del agua </w:t>
      </w:r>
      <w:r w:rsidR="00AD1AFE">
        <w:t>superficial</w:t>
      </w:r>
      <w:bookmarkEnd w:id="142"/>
    </w:p>
    <w:p w:rsidR="00AD1AFE" w:rsidRPr="00BD2915" w:rsidRDefault="00AD1AFE" w:rsidP="00AD1AFE">
      <w:pPr>
        <w:outlineLvl w:val="0"/>
        <w:rPr>
          <w:b/>
        </w:rPr>
      </w:pPr>
      <w:r w:rsidRPr="00BD2915">
        <w:rPr>
          <w:b/>
        </w:rPr>
        <w:t xml:space="preserve">Volumen concesionado </w:t>
      </w:r>
    </w:p>
    <w:p w:rsidR="002F7149" w:rsidRDefault="002F7149" w:rsidP="002F7149">
      <w:r w:rsidRPr="00BD2915">
        <w:t xml:space="preserve">Con base en la distribución de los volúmenes concesionados y reportados al 31 de marzo de </w:t>
      </w:r>
      <w:r w:rsidRPr="009E0374">
        <w:rPr>
          <w:b/>
        </w:rPr>
        <w:t>2009 en el REPD</w:t>
      </w:r>
      <w:r w:rsidR="00D4511F">
        <w:rPr>
          <w:b/>
        </w:rPr>
        <w:t xml:space="preserve">A en donde el total resultó de </w:t>
      </w:r>
      <w:r w:rsidRPr="009E0374">
        <w:rPr>
          <w:b/>
        </w:rPr>
        <w:t>46.2</w:t>
      </w:r>
      <w:r w:rsidR="00D4511F">
        <w:rPr>
          <w:b/>
        </w:rPr>
        <w:t>6</w:t>
      </w:r>
      <w:r w:rsidRPr="009E0374">
        <w:rPr>
          <w:b/>
        </w:rPr>
        <w:t xml:space="preserve"> hm³</w:t>
      </w:r>
      <w:r w:rsidR="00D4511F">
        <w:t>, el 94.6</w:t>
      </w:r>
      <w:r w:rsidRPr="006A6B69">
        <w:t xml:space="preserve">% de este total se destina al uso </w:t>
      </w:r>
      <w:r w:rsidR="00D4511F">
        <w:t>público urbano</w:t>
      </w:r>
      <w:r w:rsidRPr="006A6B69">
        <w:t xml:space="preserve">, el </w:t>
      </w:r>
      <w:r w:rsidR="00D4511F">
        <w:t>4.8</w:t>
      </w:r>
      <w:r w:rsidRPr="006A6B69">
        <w:t xml:space="preserve">% en el uso </w:t>
      </w:r>
      <w:r w:rsidR="00D4511F">
        <w:t>agrícola</w:t>
      </w:r>
      <w:r w:rsidRPr="006A6B69">
        <w:t xml:space="preserve">, el uso </w:t>
      </w:r>
      <w:r w:rsidR="00D4511F">
        <w:t>múltiple</w:t>
      </w:r>
      <w:r w:rsidRPr="006A6B69">
        <w:t xml:space="preserve"> cuenta con la concesión del </w:t>
      </w:r>
      <w:r w:rsidR="00D4511F">
        <w:t>0</w:t>
      </w:r>
      <w:r w:rsidRPr="006A6B69">
        <w:t>.4% y el resto de los usos solo concentra el 0.</w:t>
      </w:r>
      <w:r w:rsidR="00D4511F">
        <w:t>3</w:t>
      </w:r>
      <w:r w:rsidRPr="006A6B69">
        <w:t>% del volumen total concesionado</w:t>
      </w:r>
      <w:r w:rsidR="00D4511F">
        <w:t>;</w:t>
      </w:r>
      <w:r w:rsidRPr="006A6B69">
        <w:t xml:space="preserve"> por lo que respecta al porcentaje que tiene concesionado cada acuífero</w:t>
      </w:r>
      <w:r w:rsidR="00593F70">
        <w:t>,</w:t>
      </w:r>
      <w:r w:rsidRPr="006A6B69">
        <w:t xml:space="preserve"> el acuífero de Huamantla tiene un volumen concesionado de </w:t>
      </w:r>
      <w:r w:rsidR="00593F70">
        <w:t xml:space="preserve">0.24 </w:t>
      </w:r>
      <w:r w:rsidR="00593F70" w:rsidRPr="006A6B69">
        <w:t>hm³</w:t>
      </w:r>
      <w:r w:rsidRPr="006A6B69">
        <w:t xml:space="preserve">, que representa el </w:t>
      </w:r>
      <w:r w:rsidR="00593F70">
        <w:t>0</w:t>
      </w:r>
      <w:r w:rsidRPr="006A6B69">
        <w:t xml:space="preserve">.5% del volumen total concesionado, el acuífero de Libres - Oriental es el acuífero que tiene el mayor porcentaje de volumen concesionado con el </w:t>
      </w:r>
      <w:r w:rsidR="00593F70">
        <w:t>80.4</w:t>
      </w:r>
      <w:r w:rsidRPr="006A6B69">
        <w:t xml:space="preserve">% del total, lo que corresponde a </w:t>
      </w:r>
      <w:r w:rsidR="00593F70">
        <w:t xml:space="preserve">37.2 </w:t>
      </w:r>
      <w:r w:rsidRPr="006A6B69">
        <w:t xml:space="preserve">hm³; finalmente, el acuífero de Perote – Zalayeta registra un volumen concesionado de </w:t>
      </w:r>
      <w:r w:rsidR="00593F70">
        <w:t>8.8</w:t>
      </w:r>
      <w:r w:rsidRPr="006A6B69">
        <w:t xml:space="preserve"> hm³ lo que representa el </w:t>
      </w:r>
      <w:r w:rsidR="00593F70">
        <w:t>1</w:t>
      </w:r>
      <w:r w:rsidRPr="006A6B69">
        <w:t xml:space="preserve">9.0% del total </w:t>
      </w:r>
      <w:r w:rsidR="00593F70">
        <w:t xml:space="preserve">concesionado. </w:t>
      </w:r>
    </w:p>
    <w:p w:rsidR="002F7149" w:rsidRPr="00BD2915" w:rsidRDefault="002F7149" w:rsidP="002F7149">
      <w:pPr>
        <w:pStyle w:val="figura1cap5"/>
      </w:pPr>
      <w:r>
        <w:t>Volumen concesionado superficia</w:t>
      </w:r>
      <w:r w:rsidR="004B670E">
        <w:t>l. Distribución por acuífero</w:t>
      </w:r>
      <w:r>
        <w:t xml:space="preserve"> (m3/año)</w:t>
      </w:r>
      <w:r w:rsidRPr="00BD2915">
        <w:t>.</w:t>
      </w:r>
    </w:p>
    <w:p w:rsidR="002F7149" w:rsidRDefault="00D4511F" w:rsidP="002F7149">
      <w:pPr>
        <w:jc w:val="center"/>
      </w:pPr>
      <w:r w:rsidRPr="00D4511F">
        <w:rPr>
          <w:noProof/>
          <w:lang w:eastAsia="es-MX"/>
        </w:rPr>
        <w:drawing>
          <wp:inline distT="0" distB="0" distL="0" distR="0">
            <wp:extent cx="5527361" cy="2386941"/>
            <wp:effectExtent l="0" t="0" r="0" b="0"/>
            <wp:docPr id="9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srcRect/>
                    <a:stretch>
                      <a:fillRect/>
                    </a:stretch>
                  </pic:blipFill>
                  <pic:spPr bwMode="auto">
                    <a:xfrm>
                      <a:off x="0" y="0"/>
                      <a:ext cx="5531445" cy="2388705"/>
                    </a:xfrm>
                    <a:prstGeom prst="rect">
                      <a:avLst/>
                    </a:prstGeom>
                    <a:noFill/>
                    <a:ln w="9525">
                      <a:noFill/>
                      <a:miter lim="800000"/>
                      <a:headEnd/>
                      <a:tailEnd/>
                    </a:ln>
                  </pic:spPr>
                </pic:pic>
              </a:graphicData>
            </a:graphic>
          </wp:inline>
        </w:drawing>
      </w:r>
    </w:p>
    <w:p w:rsidR="002F7149" w:rsidRDefault="002F7149" w:rsidP="002F7149">
      <w:pPr>
        <w:rPr>
          <w:sz w:val="18"/>
          <w:szCs w:val="18"/>
        </w:rPr>
      </w:pPr>
      <w:r w:rsidRPr="00F413F8">
        <w:rPr>
          <w:sz w:val="18"/>
          <w:szCs w:val="18"/>
        </w:rPr>
        <w:t xml:space="preserve">Fuente: Elaboración propia IGH </w:t>
      </w:r>
      <w:r>
        <w:rPr>
          <w:sz w:val="18"/>
          <w:szCs w:val="18"/>
        </w:rPr>
        <w:t xml:space="preserve"> con base a la información del REPDA proporcionado</w:t>
      </w:r>
    </w:p>
    <w:p w:rsidR="00593F70" w:rsidRDefault="00593F70" w:rsidP="002F7149">
      <w:pPr>
        <w:jc w:val="left"/>
      </w:pPr>
      <w:r>
        <w:t xml:space="preserve">Tal y como se observa en la gráfica anterior, el uso acuícola, industrial y de servicios no tienen ningún volumen </w:t>
      </w:r>
      <w:r w:rsidR="003C4CA7">
        <w:t>concesionado</w:t>
      </w:r>
      <w:r>
        <w:t>.</w:t>
      </w:r>
    </w:p>
    <w:p w:rsidR="002F7149" w:rsidRDefault="002F7149" w:rsidP="002F7149">
      <w:pPr>
        <w:jc w:val="left"/>
      </w:pPr>
      <w:r>
        <w:t>En la siguiente figura se muestran los grandes usuarios identificados en el área de estudio.</w:t>
      </w:r>
    </w:p>
    <w:p w:rsidR="00593F70" w:rsidRDefault="00593F70">
      <w:pPr>
        <w:spacing w:before="0" w:after="0" w:line="240" w:lineRule="auto"/>
        <w:ind w:firstLine="0"/>
        <w:jc w:val="left"/>
        <w:rPr>
          <w:i/>
          <w:color w:val="214F75"/>
        </w:rPr>
      </w:pPr>
      <w:r>
        <w:br w:type="page"/>
      </w:r>
    </w:p>
    <w:p w:rsidR="002F7149" w:rsidRPr="00BD2915" w:rsidRDefault="002F7149" w:rsidP="002F7149">
      <w:pPr>
        <w:pStyle w:val="figura1cap5"/>
      </w:pPr>
      <w:r>
        <w:lastRenderedPageBreak/>
        <w:t>Volumen concesionado su</w:t>
      </w:r>
      <w:r w:rsidR="004B670E">
        <w:t>perficial</w:t>
      </w:r>
      <w:r>
        <w:t>. Grandes usuarios</w:t>
      </w:r>
      <w:r w:rsidRPr="00BD2915">
        <w:t>.</w:t>
      </w:r>
    </w:p>
    <w:p w:rsidR="00AD1AFE" w:rsidRDefault="00AD1AFE" w:rsidP="001D49F0">
      <w:pPr>
        <w:ind w:firstLine="0"/>
      </w:pPr>
      <w:r w:rsidRPr="00AD1AFE">
        <w:rPr>
          <w:noProof/>
          <w:lang w:eastAsia="es-MX"/>
        </w:rPr>
        <w:drawing>
          <wp:inline distT="0" distB="0" distL="0" distR="0">
            <wp:extent cx="5977989" cy="4474751"/>
            <wp:effectExtent l="19050" t="0" r="3711" b="0"/>
            <wp:docPr id="94" name="Imagen 1" descr="REPDA SUPERFICIAL.jpg"/>
            <wp:cNvGraphicFramePr/>
            <a:graphic xmlns:a="http://schemas.openxmlformats.org/drawingml/2006/main">
              <a:graphicData uri="http://schemas.openxmlformats.org/drawingml/2006/picture">
                <pic:pic xmlns:pic="http://schemas.openxmlformats.org/drawingml/2006/picture">
                  <pic:nvPicPr>
                    <pic:cNvPr id="8" name="7 Imagen" descr="REPDA SUPERFICIAL.jpg"/>
                    <pic:cNvPicPr>
                      <a:picLocks noChangeAspect="1"/>
                    </pic:cNvPicPr>
                  </pic:nvPicPr>
                  <pic:blipFill>
                    <a:blip r:embed="rId65" cstate="print"/>
                    <a:stretch>
                      <a:fillRect/>
                    </a:stretch>
                  </pic:blipFill>
                  <pic:spPr>
                    <a:xfrm>
                      <a:off x="0" y="0"/>
                      <a:ext cx="5975882" cy="4473174"/>
                    </a:xfrm>
                    <a:prstGeom prst="rect">
                      <a:avLst/>
                    </a:prstGeom>
                  </pic:spPr>
                </pic:pic>
              </a:graphicData>
            </a:graphic>
          </wp:inline>
        </w:drawing>
      </w:r>
    </w:p>
    <w:p w:rsidR="00AD1AFE" w:rsidRDefault="00AD1AFE" w:rsidP="00B071F3"/>
    <w:p w:rsidR="00565FAF" w:rsidRDefault="00565FAF" w:rsidP="008D35B9">
      <w:pPr>
        <w:pStyle w:val="Ttulo3"/>
      </w:pPr>
      <w:r>
        <w:tab/>
      </w:r>
      <w:bookmarkStart w:id="143" w:name="_Toc283886467"/>
      <w:r>
        <w:t>Calidad de agua superficial</w:t>
      </w:r>
      <w:bookmarkEnd w:id="143"/>
    </w:p>
    <w:p w:rsidR="002F065B" w:rsidRDefault="002F065B" w:rsidP="002F065B">
      <w:r w:rsidRPr="002F065B">
        <w:t>En general, la calidad del agua superficial es buena, ya que se aprovecha al pie de las sierras, y en estas la contaminación se mínima</w:t>
      </w:r>
      <w:r w:rsidR="00190AE7">
        <w:t>.</w:t>
      </w:r>
    </w:p>
    <w:p w:rsidR="00190AE7" w:rsidRDefault="00190AE7" w:rsidP="00190AE7">
      <w:r>
        <w:t xml:space="preserve">En términos </w:t>
      </w:r>
      <w:proofErr w:type="spellStart"/>
      <w:r>
        <w:t>limnológicos</w:t>
      </w:r>
      <w:proofErr w:type="spellEnd"/>
      <w:r>
        <w:t>, la Cuenca de Oriental está considerada como una Región Hidrológica Prioritaria para la CONABIO, quien describe que los cuerpos de agua superficial presentan una salinidad de entre 1.2-14 gr/l; pH = 8-9; O</w:t>
      </w:r>
      <w:r>
        <w:rPr>
          <w:vertAlign w:val="subscript"/>
        </w:rPr>
        <w:t xml:space="preserve">2 </w:t>
      </w:r>
      <w:r w:rsidRPr="008A3CB6">
        <w:t>=</w:t>
      </w:r>
      <w:r>
        <w:t xml:space="preserve"> </w:t>
      </w:r>
      <w:r w:rsidRPr="008A3CB6">
        <w:t>0-6.5 mg/l; temperatura anual promedio entre 12.8-14.4°C; precipitación anual promedio entre 425-656 mm; conductividad menor de 1 000 µ</w:t>
      </w:r>
      <w:proofErr w:type="spellStart"/>
      <w:r w:rsidRPr="008A3CB6">
        <w:t>mhos</w:t>
      </w:r>
      <w:proofErr w:type="spellEnd"/>
      <w:r w:rsidRPr="008A3CB6">
        <w:t>/cm a 20°C;</w:t>
      </w:r>
      <w:r>
        <w:t xml:space="preserve"> así también, CONABIO señala que e</w:t>
      </w:r>
      <w:r w:rsidRPr="008A3CB6">
        <w:t xml:space="preserve">l análisis del agua de los lagos señala una elevada concentración de aniones y cationes, lo que permite dividirlos en dos grupos: los salinos formado por los lagos de </w:t>
      </w:r>
      <w:proofErr w:type="spellStart"/>
      <w:r w:rsidRPr="008A3CB6">
        <w:t>Alchichica</w:t>
      </w:r>
      <w:proofErr w:type="spellEnd"/>
      <w:r w:rsidRPr="008A3CB6">
        <w:t xml:space="preserve"> y </w:t>
      </w:r>
      <w:proofErr w:type="spellStart"/>
      <w:r w:rsidRPr="008A3CB6">
        <w:t>Atexcac</w:t>
      </w:r>
      <w:proofErr w:type="spellEnd"/>
      <w:r w:rsidRPr="008A3CB6">
        <w:t xml:space="preserve"> y los diluidos formado por los lagos restantes. De manera general se puede definir al agua de los lagos como alcalina, con alta concentración de cloruros y bicarbonatos de sodio y de magnesio. El sedimento de todos los lagos es de textura arenosa y baja concentración de nutrientes. Se les considera lagos </w:t>
      </w:r>
      <w:proofErr w:type="spellStart"/>
      <w:r w:rsidRPr="008A3CB6">
        <w:t>quimiomícticos</w:t>
      </w:r>
      <w:proofErr w:type="spellEnd"/>
      <w:r w:rsidRPr="008A3CB6">
        <w:t xml:space="preserve"> y </w:t>
      </w:r>
      <w:proofErr w:type="spellStart"/>
      <w:r w:rsidRPr="008A3CB6">
        <w:t>polimícticos</w:t>
      </w:r>
      <w:proofErr w:type="spellEnd"/>
      <w:r w:rsidRPr="008A3CB6">
        <w:t xml:space="preserve">. Estos </w:t>
      </w:r>
      <w:r w:rsidRPr="008A3CB6">
        <w:lastRenderedPageBreak/>
        <w:t xml:space="preserve">cuerpos de agua corresponden con </w:t>
      </w:r>
      <w:proofErr w:type="spellStart"/>
      <w:r w:rsidRPr="008A3CB6">
        <w:t>diastremas</w:t>
      </w:r>
      <w:proofErr w:type="spellEnd"/>
      <w:r w:rsidRPr="008A3CB6">
        <w:t xml:space="preserve"> o </w:t>
      </w:r>
      <w:proofErr w:type="spellStart"/>
      <w:r w:rsidRPr="008A3CB6">
        <w:t>maars</w:t>
      </w:r>
      <w:proofErr w:type="spellEnd"/>
      <w:r w:rsidRPr="008A3CB6">
        <w:t xml:space="preserve"> y se les incluye dentro del tipo 11 de </w:t>
      </w:r>
      <w:r>
        <w:t>la clasificación de Hutchinson</w:t>
      </w:r>
      <w:r w:rsidRPr="008A3CB6">
        <w:t xml:space="preserve">. </w:t>
      </w:r>
    </w:p>
    <w:p w:rsidR="008D35B9" w:rsidRDefault="00565FAF" w:rsidP="008011C2">
      <w:pPr>
        <w:pStyle w:val="Ttulo3"/>
      </w:pPr>
      <w:r>
        <w:tab/>
      </w:r>
      <w:bookmarkStart w:id="144" w:name="_Toc283886468"/>
      <w:r>
        <w:t>Características básicas de disponibilidad y uso del agua</w:t>
      </w:r>
      <w:r w:rsidR="008D35B9">
        <w:t xml:space="preserve"> superficial</w:t>
      </w:r>
      <w:bookmarkEnd w:id="144"/>
    </w:p>
    <w:p w:rsidR="002F065B" w:rsidRDefault="002F065B" w:rsidP="002F065B">
      <w:r w:rsidRPr="002F065B">
        <w:t>Las pronunciadas pendientes de las Sierras, hacen del tiempo de concentración de las tormentas, períodos muy breves, por lo cual en general, las corrientes superficiales son efímeras.  Dado que la precipitación pluvial supera los 400 mm en la mayor parte de la superficie, la agricultura de temporal es de gran relevancia, en contraparte, el nivel somero del acuífero, ofrece costos relativamente bajos para el aprovechamiento del agua subterránea, lo que ha constituido una opción de costo mínimo para el uso agrícola, sin recurrir a la construcción de aprovechamientos superficiales, salvo en las faldas de las sierras, donde existen sitios naturales que han facilitado la construcción de pequeños bordos de almacenamiento, que también permiten el aprovechamiento de manantiales.</w:t>
      </w:r>
    </w:p>
    <w:p w:rsidR="00565FAF" w:rsidRDefault="008D35B9" w:rsidP="008D35B9">
      <w:pPr>
        <w:pStyle w:val="Ttulo2"/>
      </w:pPr>
      <w:r>
        <w:t xml:space="preserve"> </w:t>
      </w:r>
      <w:bookmarkStart w:id="145" w:name="_Toc283886469"/>
      <w:r>
        <w:t>Agua residual</w:t>
      </w:r>
      <w:bookmarkEnd w:id="145"/>
    </w:p>
    <w:p w:rsidR="008D35B9" w:rsidRDefault="008D35B9" w:rsidP="008011C2">
      <w:pPr>
        <w:pStyle w:val="Ttulo3"/>
      </w:pPr>
      <w:bookmarkStart w:id="146" w:name="_Toc283886470"/>
      <w:r>
        <w:t>Calidad</w:t>
      </w:r>
      <w:bookmarkEnd w:id="146"/>
    </w:p>
    <w:p w:rsidR="002F065B" w:rsidRPr="002F065B" w:rsidRDefault="002F065B" w:rsidP="002F065B">
      <w:r w:rsidRPr="002F065B">
        <w:t>El agua residual aún carece de tratamiento en las localidades de la zona de estudio.  Esto hace de dicho volumen una fuente contaminante.</w:t>
      </w:r>
    </w:p>
    <w:p w:rsidR="008D35B9" w:rsidRDefault="008D35B9" w:rsidP="008011C2">
      <w:pPr>
        <w:pStyle w:val="Ttulo3"/>
      </w:pPr>
      <w:bookmarkStart w:id="147" w:name="_Toc283886471"/>
      <w:r>
        <w:t>Características básicas de disponibilidad y uso del agua residual tratada y sin tratar</w:t>
      </w:r>
      <w:bookmarkEnd w:id="147"/>
    </w:p>
    <w:p w:rsidR="00B64E9C" w:rsidRDefault="00B64E9C" w:rsidP="003C4CA7">
      <w:pPr>
        <w:pStyle w:val="Ttulo4"/>
      </w:pPr>
      <w:bookmarkStart w:id="148" w:name="_Toc283886472"/>
      <w:r>
        <w:t>Agua residual generada</w:t>
      </w:r>
      <w:bookmarkEnd w:id="148"/>
      <w:r>
        <w:t xml:space="preserve"> </w:t>
      </w:r>
    </w:p>
    <w:p w:rsidR="00625767" w:rsidRDefault="00625767" w:rsidP="00202525">
      <w:r>
        <w:t>La cobertura de alcantarillado del área de estudio es del 68.2%, siendo las localidades urbanas quienes presentan la mejor cobertura con el 83.0% y las rurales con el 49.2%.</w:t>
      </w:r>
    </w:p>
    <w:p w:rsidR="00625767" w:rsidRDefault="00625767" w:rsidP="00202525">
      <w:r>
        <w:t>Según el acuífero, la población de Huamantla tiene una cobertura del 84.1%, la cual es mayor que la de los acuíferos Perote y Libres que tienen una cobertura del 71.5% y 59.2% respectivamente.</w:t>
      </w:r>
    </w:p>
    <w:p w:rsidR="00625767" w:rsidRDefault="00CE6919" w:rsidP="00202525">
      <w:r>
        <w:t>Las mayores coberturas se presentan las localidades urbanas, siendo las de Huamantla las de mayor infraestructura, las localidades rurales de Libres-Oriental son las menos atendidas alcanzando solamente 42.5% de cobertura.</w:t>
      </w:r>
    </w:p>
    <w:p w:rsidR="00202525" w:rsidRDefault="003014A8" w:rsidP="00202525">
      <w:pPr>
        <w:pStyle w:val="Tabla1cap5"/>
        <w:outlineLvl w:val="0"/>
      </w:pPr>
      <w:r>
        <w:t>Cobertura de Alcantarillado y aportación de aguas residuales según acuífero</w:t>
      </w:r>
    </w:p>
    <w:tbl>
      <w:tblPr>
        <w:tblStyle w:val="Tablabsica1"/>
        <w:tblW w:w="9889" w:type="dxa"/>
        <w:tblLook w:val="04A0"/>
      </w:tblPr>
      <w:tblGrid>
        <w:gridCol w:w="2093"/>
        <w:gridCol w:w="1417"/>
        <w:gridCol w:w="1134"/>
        <w:gridCol w:w="1701"/>
        <w:gridCol w:w="1134"/>
        <w:gridCol w:w="1006"/>
        <w:gridCol w:w="1404"/>
      </w:tblGrid>
      <w:tr w:rsidR="003014A8" w:rsidRPr="003014A8" w:rsidTr="003014A8">
        <w:trPr>
          <w:cnfStyle w:val="100000000000"/>
        </w:trPr>
        <w:tc>
          <w:tcPr>
            <w:tcW w:w="2093" w:type="dxa"/>
          </w:tcPr>
          <w:p w:rsidR="003014A8" w:rsidRPr="003014A8" w:rsidRDefault="003014A8" w:rsidP="003014A8">
            <w:pPr>
              <w:spacing w:before="0" w:after="0" w:line="240" w:lineRule="auto"/>
              <w:ind w:firstLine="0"/>
              <w:rPr>
                <w:sz w:val="20"/>
              </w:rPr>
            </w:pPr>
            <w:r w:rsidRPr="003014A8">
              <w:rPr>
                <w:sz w:val="20"/>
              </w:rPr>
              <w:t>Acuífero</w:t>
            </w:r>
          </w:p>
        </w:tc>
        <w:tc>
          <w:tcPr>
            <w:tcW w:w="4252" w:type="dxa"/>
            <w:gridSpan w:val="3"/>
          </w:tcPr>
          <w:p w:rsidR="003014A8" w:rsidRPr="003014A8" w:rsidRDefault="003014A8" w:rsidP="003014A8">
            <w:pPr>
              <w:spacing w:before="0" w:after="0" w:line="240" w:lineRule="auto"/>
              <w:ind w:firstLine="0"/>
              <w:jc w:val="center"/>
              <w:rPr>
                <w:sz w:val="20"/>
              </w:rPr>
            </w:pPr>
            <w:r w:rsidRPr="003014A8">
              <w:rPr>
                <w:sz w:val="20"/>
              </w:rPr>
              <w:t>% Alcantarillado</w:t>
            </w:r>
          </w:p>
        </w:tc>
        <w:tc>
          <w:tcPr>
            <w:tcW w:w="3544" w:type="dxa"/>
            <w:gridSpan w:val="3"/>
          </w:tcPr>
          <w:p w:rsidR="003014A8" w:rsidRPr="003014A8" w:rsidRDefault="003014A8" w:rsidP="003014A8">
            <w:pPr>
              <w:spacing w:before="0" w:after="0" w:line="240" w:lineRule="auto"/>
              <w:ind w:firstLine="0"/>
              <w:jc w:val="center"/>
              <w:rPr>
                <w:sz w:val="20"/>
              </w:rPr>
            </w:pPr>
            <w:r w:rsidRPr="003014A8">
              <w:rPr>
                <w:sz w:val="20"/>
              </w:rPr>
              <w:t>Aguas Residuales (</w:t>
            </w:r>
            <w:proofErr w:type="spellStart"/>
            <w:r w:rsidRPr="003014A8">
              <w:rPr>
                <w:sz w:val="20"/>
              </w:rPr>
              <w:t>lps</w:t>
            </w:r>
            <w:proofErr w:type="spellEnd"/>
            <w:r w:rsidRPr="003014A8">
              <w:rPr>
                <w:sz w:val="20"/>
              </w:rPr>
              <w:t>)</w:t>
            </w:r>
          </w:p>
        </w:tc>
      </w:tr>
      <w:tr w:rsidR="003014A8" w:rsidRPr="003014A8" w:rsidTr="003014A8">
        <w:tc>
          <w:tcPr>
            <w:tcW w:w="2093" w:type="dxa"/>
          </w:tcPr>
          <w:p w:rsidR="003014A8" w:rsidRPr="003014A8" w:rsidRDefault="003014A8" w:rsidP="003014A8">
            <w:pPr>
              <w:spacing w:before="0" w:after="0" w:line="240" w:lineRule="auto"/>
              <w:ind w:firstLine="0"/>
              <w:rPr>
                <w:sz w:val="20"/>
              </w:rPr>
            </w:pPr>
          </w:p>
        </w:tc>
        <w:tc>
          <w:tcPr>
            <w:tcW w:w="1417" w:type="dxa"/>
          </w:tcPr>
          <w:p w:rsidR="003014A8" w:rsidRPr="003014A8" w:rsidRDefault="003014A8" w:rsidP="003014A8">
            <w:pPr>
              <w:spacing w:before="0" w:after="0" w:line="240" w:lineRule="auto"/>
              <w:ind w:firstLine="0"/>
              <w:jc w:val="center"/>
              <w:rPr>
                <w:sz w:val="20"/>
              </w:rPr>
            </w:pPr>
            <w:r w:rsidRPr="003014A8">
              <w:rPr>
                <w:sz w:val="20"/>
              </w:rPr>
              <w:t>Urbana</w:t>
            </w:r>
          </w:p>
        </w:tc>
        <w:tc>
          <w:tcPr>
            <w:tcW w:w="1134" w:type="dxa"/>
          </w:tcPr>
          <w:p w:rsidR="003014A8" w:rsidRPr="003014A8" w:rsidRDefault="003014A8" w:rsidP="003014A8">
            <w:pPr>
              <w:spacing w:before="0" w:after="0" w:line="240" w:lineRule="auto"/>
              <w:ind w:firstLine="0"/>
              <w:jc w:val="center"/>
              <w:rPr>
                <w:sz w:val="20"/>
              </w:rPr>
            </w:pPr>
            <w:r w:rsidRPr="003014A8">
              <w:rPr>
                <w:sz w:val="20"/>
              </w:rPr>
              <w:t>Rural</w:t>
            </w:r>
          </w:p>
        </w:tc>
        <w:tc>
          <w:tcPr>
            <w:tcW w:w="1701" w:type="dxa"/>
          </w:tcPr>
          <w:p w:rsidR="003014A8" w:rsidRPr="003014A8" w:rsidRDefault="003014A8" w:rsidP="003014A8">
            <w:pPr>
              <w:spacing w:before="0" w:after="0" w:line="240" w:lineRule="auto"/>
              <w:ind w:firstLine="0"/>
              <w:jc w:val="center"/>
              <w:rPr>
                <w:sz w:val="20"/>
              </w:rPr>
            </w:pPr>
            <w:r w:rsidRPr="003014A8">
              <w:rPr>
                <w:sz w:val="20"/>
              </w:rPr>
              <w:t>Promedio</w:t>
            </w:r>
          </w:p>
        </w:tc>
        <w:tc>
          <w:tcPr>
            <w:tcW w:w="1134" w:type="dxa"/>
          </w:tcPr>
          <w:p w:rsidR="003014A8" w:rsidRPr="003014A8" w:rsidRDefault="003014A8" w:rsidP="003014A8">
            <w:pPr>
              <w:spacing w:before="0" w:after="0" w:line="240" w:lineRule="auto"/>
              <w:ind w:firstLine="0"/>
              <w:jc w:val="center"/>
              <w:rPr>
                <w:sz w:val="20"/>
              </w:rPr>
            </w:pPr>
            <w:r w:rsidRPr="003014A8">
              <w:rPr>
                <w:sz w:val="20"/>
              </w:rPr>
              <w:t>Urbana</w:t>
            </w:r>
          </w:p>
        </w:tc>
        <w:tc>
          <w:tcPr>
            <w:tcW w:w="1006" w:type="dxa"/>
          </w:tcPr>
          <w:p w:rsidR="003014A8" w:rsidRPr="003014A8" w:rsidRDefault="003014A8" w:rsidP="003014A8">
            <w:pPr>
              <w:spacing w:before="0" w:after="0" w:line="240" w:lineRule="auto"/>
              <w:ind w:firstLine="0"/>
              <w:jc w:val="center"/>
              <w:rPr>
                <w:sz w:val="20"/>
              </w:rPr>
            </w:pPr>
            <w:r w:rsidRPr="003014A8">
              <w:rPr>
                <w:sz w:val="20"/>
              </w:rPr>
              <w:t>Rural</w:t>
            </w:r>
          </w:p>
        </w:tc>
        <w:tc>
          <w:tcPr>
            <w:tcW w:w="1404" w:type="dxa"/>
          </w:tcPr>
          <w:p w:rsidR="003014A8" w:rsidRPr="003014A8" w:rsidRDefault="003014A8" w:rsidP="003014A8">
            <w:pPr>
              <w:spacing w:before="0" w:after="0" w:line="240" w:lineRule="auto"/>
              <w:ind w:firstLine="0"/>
              <w:jc w:val="center"/>
              <w:rPr>
                <w:sz w:val="20"/>
              </w:rPr>
            </w:pPr>
            <w:r w:rsidRPr="003014A8">
              <w:rPr>
                <w:sz w:val="20"/>
              </w:rPr>
              <w:t>Suma</w:t>
            </w:r>
          </w:p>
        </w:tc>
      </w:tr>
      <w:tr w:rsidR="003014A8" w:rsidRPr="003014A8" w:rsidTr="003014A8">
        <w:tc>
          <w:tcPr>
            <w:tcW w:w="2093" w:type="dxa"/>
          </w:tcPr>
          <w:p w:rsidR="003014A8" w:rsidRPr="003014A8" w:rsidRDefault="003014A8" w:rsidP="003014A8">
            <w:pPr>
              <w:spacing w:before="0" w:after="0" w:line="240" w:lineRule="auto"/>
              <w:ind w:firstLine="0"/>
              <w:rPr>
                <w:sz w:val="20"/>
              </w:rPr>
            </w:pPr>
            <w:r w:rsidRPr="003014A8">
              <w:rPr>
                <w:sz w:val="20"/>
              </w:rPr>
              <w:t>Huamantla</w:t>
            </w:r>
          </w:p>
        </w:tc>
        <w:tc>
          <w:tcPr>
            <w:tcW w:w="1417" w:type="dxa"/>
          </w:tcPr>
          <w:p w:rsidR="003014A8" w:rsidRPr="003014A8" w:rsidRDefault="003014A8" w:rsidP="003014A8">
            <w:pPr>
              <w:spacing w:before="0" w:after="0" w:line="240" w:lineRule="auto"/>
              <w:ind w:firstLine="0"/>
              <w:jc w:val="center"/>
              <w:rPr>
                <w:sz w:val="20"/>
              </w:rPr>
            </w:pPr>
            <w:r w:rsidRPr="003014A8">
              <w:rPr>
                <w:sz w:val="20"/>
              </w:rPr>
              <w:t>89.1%</w:t>
            </w:r>
          </w:p>
        </w:tc>
        <w:tc>
          <w:tcPr>
            <w:tcW w:w="1134" w:type="dxa"/>
          </w:tcPr>
          <w:p w:rsidR="003014A8" w:rsidRPr="003014A8" w:rsidRDefault="003014A8" w:rsidP="003014A8">
            <w:pPr>
              <w:spacing w:before="0" w:after="0" w:line="240" w:lineRule="auto"/>
              <w:ind w:firstLine="0"/>
              <w:jc w:val="center"/>
              <w:rPr>
                <w:sz w:val="20"/>
              </w:rPr>
            </w:pPr>
            <w:r w:rsidRPr="003014A8">
              <w:rPr>
                <w:sz w:val="20"/>
              </w:rPr>
              <w:t>68.9%</w:t>
            </w:r>
          </w:p>
        </w:tc>
        <w:tc>
          <w:tcPr>
            <w:tcW w:w="1701" w:type="dxa"/>
          </w:tcPr>
          <w:p w:rsidR="003014A8" w:rsidRPr="003014A8" w:rsidRDefault="003014A8" w:rsidP="003014A8">
            <w:pPr>
              <w:spacing w:before="0" w:after="0" w:line="240" w:lineRule="auto"/>
              <w:ind w:firstLine="0"/>
              <w:jc w:val="center"/>
              <w:rPr>
                <w:sz w:val="20"/>
              </w:rPr>
            </w:pPr>
            <w:r w:rsidRPr="003014A8">
              <w:rPr>
                <w:sz w:val="20"/>
              </w:rPr>
              <w:t>84.1%</w:t>
            </w:r>
          </w:p>
        </w:tc>
        <w:tc>
          <w:tcPr>
            <w:tcW w:w="1134" w:type="dxa"/>
          </w:tcPr>
          <w:p w:rsidR="003014A8" w:rsidRPr="003014A8" w:rsidRDefault="003014A8" w:rsidP="003014A8">
            <w:pPr>
              <w:spacing w:before="0" w:after="0" w:line="240" w:lineRule="auto"/>
              <w:ind w:firstLine="0"/>
              <w:jc w:val="center"/>
              <w:rPr>
                <w:sz w:val="20"/>
              </w:rPr>
            </w:pPr>
            <w:r w:rsidRPr="003014A8">
              <w:rPr>
                <w:sz w:val="20"/>
              </w:rPr>
              <w:t>263.52</w:t>
            </w:r>
          </w:p>
        </w:tc>
        <w:tc>
          <w:tcPr>
            <w:tcW w:w="1006" w:type="dxa"/>
          </w:tcPr>
          <w:p w:rsidR="003014A8" w:rsidRPr="003014A8" w:rsidRDefault="003014A8" w:rsidP="003014A8">
            <w:pPr>
              <w:spacing w:before="0" w:after="0" w:line="240" w:lineRule="auto"/>
              <w:ind w:firstLine="0"/>
              <w:jc w:val="center"/>
              <w:rPr>
                <w:sz w:val="20"/>
              </w:rPr>
            </w:pPr>
            <w:r w:rsidRPr="003014A8">
              <w:rPr>
                <w:sz w:val="20"/>
              </w:rPr>
              <w:t>86.61</w:t>
            </w:r>
          </w:p>
        </w:tc>
        <w:tc>
          <w:tcPr>
            <w:tcW w:w="1404" w:type="dxa"/>
          </w:tcPr>
          <w:p w:rsidR="003014A8" w:rsidRPr="003014A8" w:rsidRDefault="003014A8" w:rsidP="003014A8">
            <w:pPr>
              <w:spacing w:before="0" w:after="0" w:line="240" w:lineRule="auto"/>
              <w:ind w:firstLine="0"/>
              <w:jc w:val="center"/>
              <w:rPr>
                <w:sz w:val="20"/>
              </w:rPr>
            </w:pPr>
            <w:r w:rsidRPr="003014A8">
              <w:rPr>
                <w:sz w:val="20"/>
              </w:rPr>
              <w:t>350.13</w:t>
            </w:r>
          </w:p>
        </w:tc>
      </w:tr>
      <w:tr w:rsidR="003014A8" w:rsidRPr="003014A8" w:rsidTr="003014A8">
        <w:tc>
          <w:tcPr>
            <w:tcW w:w="2093" w:type="dxa"/>
          </w:tcPr>
          <w:p w:rsidR="003014A8" w:rsidRPr="003014A8" w:rsidRDefault="003014A8" w:rsidP="003014A8">
            <w:pPr>
              <w:spacing w:before="0" w:after="0" w:line="240" w:lineRule="auto"/>
              <w:ind w:firstLine="0"/>
              <w:rPr>
                <w:sz w:val="20"/>
              </w:rPr>
            </w:pPr>
            <w:r w:rsidRPr="003014A8">
              <w:rPr>
                <w:sz w:val="20"/>
              </w:rPr>
              <w:t>Libres - Oriental</w:t>
            </w:r>
          </w:p>
        </w:tc>
        <w:tc>
          <w:tcPr>
            <w:tcW w:w="1417" w:type="dxa"/>
          </w:tcPr>
          <w:p w:rsidR="003014A8" w:rsidRPr="003014A8" w:rsidRDefault="003014A8" w:rsidP="003014A8">
            <w:pPr>
              <w:spacing w:before="0" w:after="0" w:line="240" w:lineRule="auto"/>
              <w:ind w:firstLine="0"/>
              <w:jc w:val="center"/>
              <w:rPr>
                <w:sz w:val="20"/>
              </w:rPr>
            </w:pPr>
            <w:r w:rsidRPr="003014A8">
              <w:rPr>
                <w:sz w:val="20"/>
              </w:rPr>
              <w:t>76.9%</w:t>
            </w:r>
          </w:p>
        </w:tc>
        <w:tc>
          <w:tcPr>
            <w:tcW w:w="1134" w:type="dxa"/>
          </w:tcPr>
          <w:p w:rsidR="003014A8" w:rsidRPr="003014A8" w:rsidRDefault="003014A8" w:rsidP="003014A8">
            <w:pPr>
              <w:spacing w:before="0" w:after="0" w:line="240" w:lineRule="auto"/>
              <w:ind w:firstLine="0"/>
              <w:jc w:val="center"/>
              <w:rPr>
                <w:sz w:val="20"/>
              </w:rPr>
            </w:pPr>
            <w:r w:rsidRPr="003014A8">
              <w:rPr>
                <w:sz w:val="20"/>
              </w:rPr>
              <w:t>42.5%</w:t>
            </w:r>
          </w:p>
        </w:tc>
        <w:tc>
          <w:tcPr>
            <w:tcW w:w="1701" w:type="dxa"/>
          </w:tcPr>
          <w:p w:rsidR="003014A8" w:rsidRPr="003014A8" w:rsidRDefault="003014A8" w:rsidP="003014A8">
            <w:pPr>
              <w:spacing w:before="0" w:after="0" w:line="240" w:lineRule="auto"/>
              <w:ind w:firstLine="0"/>
              <w:jc w:val="center"/>
              <w:rPr>
                <w:sz w:val="20"/>
              </w:rPr>
            </w:pPr>
            <w:r w:rsidRPr="003014A8">
              <w:rPr>
                <w:sz w:val="20"/>
              </w:rPr>
              <w:t>59.2%</w:t>
            </w:r>
          </w:p>
        </w:tc>
        <w:tc>
          <w:tcPr>
            <w:tcW w:w="1134" w:type="dxa"/>
          </w:tcPr>
          <w:p w:rsidR="003014A8" w:rsidRPr="003014A8" w:rsidRDefault="003014A8" w:rsidP="003014A8">
            <w:pPr>
              <w:spacing w:before="0" w:after="0" w:line="240" w:lineRule="auto"/>
              <w:ind w:firstLine="0"/>
              <w:jc w:val="center"/>
              <w:rPr>
                <w:sz w:val="20"/>
              </w:rPr>
            </w:pPr>
            <w:r w:rsidRPr="003014A8">
              <w:rPr>
                <w:sz w:val="20"/>
              </w:rPr>
              <w:t>370.01</w:t>
            </w:r>
          </w:p>
        </w:tc>
        <w:tc>
          <w:tcPr>
            <w:tcW w:w="1006" w:type="dxa"/>
          </w:tcPr>
          <w:p w:rsidR="003014A8" w:rsidRPr="003014A8" w:rsidRDefault="003014A8" w:rsidP="003014A8">
            <w:pPr>
              <w:spacing w:before="0" w:after="0" w:line="240" w:lineRule="auto"/>
              <w:ind w:firstLine="0"/>
              <w:jc w:val="center"/>
              <w:rPr>
                <w:sz w:val="20"/>
              </w:rPr>
            </w:pPr>
            <w:r w:rsidRPr="003014A8">
              <w:rPr>
                <w:sz w:val="20"/>
              </w:rPr>
              <w:t>396.62</w:t>
            </w:r>
          </w:p>
        </w:tc>
        <w:tc>
          <w:tcPr>
            <w:tcW w:w="1404" w:type="dxa"/>
          </w:tcPr>
          <w:p w:rsidR="003014A8" w:rsidRPr="003014A8" w:rsidRDefault="003014A8" w:rsidP="003014A8">
            <w:pPr>
              <w:spacing w:before="0" w:after="0" w:line="240" w:lineRule="auto"/>
              <w:ind w:firstLine="0"/>
              <w:jc w:val="center"/>
              <w:rPr>
                <w:sz w:val="20"/>
              </w:rPr>
            </w:pPr>
            <w:r w:rsidRPr="003014A8">
              <w:rPr>
                <w:sz w:val="20"/>
              </w:rPr>
              <w:t>766.63</w:t>
            </w:r>
          </w:p>
        </w:tc>
      </w:tr>
      <w:tr w:rsidR="003014A8" w:rsidRPr="003014A8" w:rsidTr="003014A8">
        <w:tc>
          <w:tcPr>
            <w:tcW w:w="2093" w:type="dxa"/>
          </w:tcPr>
          <w:p w:rsidR="003014A8" w:rsidRPr="003014A8" w:rsidRDefault="003014A8" w:rsidP="003014A8">
            <w:pPr>
              <w:spacing w:before="0" w:after="0" w:line="240" w:lineRule="auto"/>
              <w:ind w:firstLine="0"/>
              <w:rPr>
                <w:sz w:val="20"/>
              </w:rPr>
            </w:pPr>
            <w:r w:rsidRPr="003014A8">
              <w:rPr>
                <w:sz w:val="20"/>
              </w:rPr>
              <w:t>Perote</w:t>
            </w:r>
          </w:p>
        </w:tc>
        <w:tc>
          <w:tcPr>
            <w:tcW w:w="1417" w:type="dxa"/>
          </w:tcPr>
          <w:p w:rsidR="003014A8" w:rsidRPr="003014A8" w:rsidRDefault="003014A8" w:rsidP="003014A8">
            <w:pPr>
              <w:spacing w:before="0" w:after="0" w:line="240" w:lineRule="auto"/>
              <w:ind w:firstLine="0"/>
              <w:jc w:val="center"/>
              <w:rPr>
                <w:sz w:val="20"/>
              </w:rPr>
            </w:pPr>
            <w:r w:rsidRPr="003014A8">
              <w:rPr>
                <w:sz w:val="20"/>
              </w:rPr>
              <w:t>86.0%</w:t>
            </w:r>
          </w:p>
        </w:tc>
        <w:tc>
          <w:tcPr>
            <w:tcW w:w="1134" w:type="dxa"/>
          </w:tcPr>
          <w:p w:rsidR="003014A8" w:rsidRPr="003014A8" w:rsidRDefault="003014A8" w:rsidP="003014A8">
            <w:pPr>
              <w:spacing w:before="0" w:after="0" w:line="240" w:lineRule="auto"/>
              <w:ind w:firstLine="0"/>
              <w:jc w:val="center"/>
              <w:rPr>
                <w:sz w:val="20"/>
              </w:rPr>
            </w:pPr>
            <w:r w:rsidRPr="003014A8">
              <w:rPr>
                <w:sz w:val="20"/>
              </w:rPr>
              <w:t>54.3%</w:t>
            </w:r>
          </w:p>
        </w:tc>
        <w:tc>
          <w:tcPr>
            <w:tcW w:w="1701" w:type="dxa"/>
          </w:tcPr>
          <w:p w:rsidR="003014A8" w:rsidRPr="003014A8" w:rsidRDefault="003014A8" w:rsidP="003014A8">
            <w:pPr>
              <w:spacing w:before="0" w:after="0" w:line="240" w:lineRule="auto"/>
              <w:ind w:firstLine="0"/>
              <w:jc w:val="center"/>
              <w:rPr>
                <w:sz w:val="20"/>
              </w:rPr>
            </w:pPr>
            <w:r w:rsidRPr="003014A8">
              <w:rPr>
                <w:sz w:val="20"/>
              </w:rPr>
              <w:t>71.5%</w:t>
            </w:r>
          </w:p>
        </w:tc>
        <w:tc>
          <w:tcPr>
            <w:tcW w:w="1134" w:type="dxa"/>
          </w:tcPr>
          <w:p w:rsidR="003014A8" w:rsidRPr="003014A8" w:rsidRDefault="003014A8" w:rsidP="003014A8">
            <w:pPr>
              <w:spacing w:before="0" w:after="0" w:line="240" w:lineRule="auto"/>
              <w:ind w:firstLine="0"/>
              <w:jc w:val="center"/>
              <w:rPr>
                <w:sz w:val="20"/>
              </w:rPr>
            </w:pPr>
            <w:r w:rsidRPr="003014A8">
              <w:rPr>
                <w:sz w:val="20"/>
              </w:rPr>
              <w:t>262.14</w:t>
            </w:r>
          </w:p>
        </w:tc>
        <w:tc>
          <w:tcPr>
            <w:tcW w:w="1006" w:type="dxa"/>
          </w:tcPr>
          <w:p w:rsidR="003014A8" w:rsidRPr="003014A8" w:rsidRDefault="003014A8" w:rsidP="003014A8">
            <w:pPr>
              <w:spacing w:before="0" w:after="0" w:line="240" w:lineRule="auto"/>
              <w:ind w:firstLine="0"/>
              <w:jc w:val="center"/>
              <w:rPr>
                <w:sz w:val="20"/>
              </w:rPr>
            </w:pPr>
            <w:r w:rsidRPr="003014A8">
              <w:rPr>
                <w:sz w:val="20"/>
              </w:rPr>
              <w:t>164.77</w:t>
            </w:r>
          </w:p>
        </w:tc>
        <w:tc>
          <w:tcPr>
            <w:tcW w:w="1404" w:type="dxa"/>
          </w:tcPr>
          <w:p w:rsidR="003014A8" w:rsidRPr="003014A8" w:rsidRDefault="003014A8" w:rsidP="003014A8">
            <w:pPr>
              <w:spacing w:before="0" w:after="0" w:line="240" w:lineRule="auto"/>
              <w:ind w:firstLine="0"/>
              <w:jc w:val="center"/>
              <w:rPr>
                <w:sz w:val="20"/>
              </w:rPr>
            </w:pPr>
            <w:r w:rsidRPr="003014A8">
              <w:rPr>
                <w:sz w:val="20"/>
              </w:rPr>
              <w:t>426.91</w:t>
            </w:r>
          </w:p>
        </w:tc>
      </w:tr>
      <w:tr w:rsidR="003014A8" w:rsidRPr="003014A8" w:rsidTr="003014A8">
        <w:tc>
          <w:tcPr>
            <w:tcW w:w="2093" w:type="dxa"/>
          </w:tcPr>
          <w:p w:rsidR="003014A8" w:rsidRPr="003014A8" w:rsidRDefault="003014A8" w:rsidP="003014A8">
            <w:pPr>
              <w:spacing w:before="0" w:after="0" w:line="240" w:lineRule="auto"/>
              <w:ind w:firstLine="0"/>
              <w:rPr>
                <w:sz w:val="20"/>
              </w:rPr>
            </w:pPr>
            <w:r w:rsidRPr="003014A8">
              <w:rPr>
                <w:sz w:val="20"/>
              </w:rPr>
              <w:t>Promedio</w:t>
            </w:r>
          </w:p>
        </w:tc>
        <w:tc>
          <w:tcPr>
            <w:tcW w:w="1417" w:type="dxa"/>
          </w:tcPr>
          <w:p w:rsidR="003014A8" w:rsidRPr="003014A8" w:rsidRDefault="003014A8" w:rsidP="003014A8">
            <w:pPr>
              <w:spacing w:before="0" w:after="0" w:line="240" w:lineRule="auto"/>
              <w:ind w:firstLine="0"/>
              <w:jc w:val="center"/>
              <w:rPr>
                <w:sz w:val="20"/>
              </w:rPr>
            </w:pPr>
            <w:r w:rsidRPr="003014A8">
              <w:rPr>
                <w:sz w:val="20"/>
              </w:rPr>
              <w:t>83.0%</w:t>
            </w:r>
          </w:p>
        </w:tc>
        <w:tc>
          <w:tcPr>
            <w:tcW w:w="1134" w:type="dxa"/>
          </w:tcPr>
          <w:p w:rsidR="003014A8" w:rsidRPr="003014A8" w:rsidRDefault="003014A8" w:rsidP="003014A8">
            <w:pPr>
              <w:spacing w:before="0" w:after="0" w:line="240" w:lineRule="auto"/>
              <w:ind w:firstLine="0"/>
              <w:jc w:val="center"/>
              <w:rPr>
                <w:sz w:val="20"/>
              </w:rPr>
            </w:pPr>
            <w:r w:rsidRPr="003014A8">
              <w:rPr>
                <w:sz w:val="20"/>
              </w:rPr>
              <w:t>49.2%</w:t>
            </w:r>
          </w:p>
        </w:tc>
        <w:tc>
          <w:tcPr>
            <w:tcW w:w="1701" w:type="dxa"/>
          </w:tcPr>
          <w:p w:rsidR="003014A8" w:rsidRPr="003014A8" w:rsidRDefault="003014A8" w:rsidP="003014A8">
            <w:pPr>
              <w:spacing w:before="0" w:after="0" w:line="240" w:lineRule="auto"/>
              <w:ind w:firstLine="0"/>
              <w:jc w:val="center"/>
              <w:rPr>
                <w:sz w:val="20"/>
              </w:rPr>
            </w:pPr>
            <w:r w:rsidRPr="003014A8">
              <w:rPr>
                <w:sz w:val="20"/>
              </w:rPr>
              <w:t>68.2%</w:t>
            </w:r>
          </w:p>
        </w:tc>
        <w:tc>
          <w:tcPr>
            <w:tcW w:w="1134" w:type="dxa"/>
          </w:tcPr>
          <w:p w:rsidR="003014A8" w:rsidRPr="003014A8" w:rsidRDefault="003014A8" w:rsidP="003014A8">
            <w:pPr>
              <w:spacing w:before="0" w:after="0" w:line="240" w:lineRule="auto"/>
              <w:ind w:firstLine="0"/>
              <w:jc w:val="center"/>
              <w:rPr>
                <w:sz w:val="20"/>
              </w:rPr>
            </w:pPr>
            <w:r w:rsidRPr="003014A8">
              <w:rPr>
                <w:sz w:val="20"/>
              </w:rPr>
              <w:t>895.66</w:t>
            </w:r>
          </w:p>
        </w:tc>
        <w:tc>
          <w:tcPr>
            <w:tcW w:w="1006" w:type="dxa"/>
          </w:tcPr>
          <w:p w:rsidR="003014A8" w:rsidRPr="003014A8" w:rsidRDefault="003014A8" w:rsidP="003014A8">
            <w:pPr>
              <w:spacing w:before="0" w:after="0" w:line="240" w:lineRule="auto"/>
              <w:ind w:firstLine="0"/>
              <w:jc w:val="center"/>
              <w:rPr>
                <w:sz w:val="20"/>
              </w:rPr>
            </w:pPr>
            <w:r w:rsidRPr="003014A8">
              <w:rPr>
                <w:sz w:val="20"/>
              </w:rPr>
              <w:t>648.01</w:t>
            </w:r>
          </w:p>
        </w:tc>
        <w:tc>
          <w:tcPr>
            <w:tcW w:w="1404" w:type="dxa"/>
          </w:tcPr>
          <w:p w:rsidR="003014A8" w:rsidRPr="003014A8" w:rsidRDefault="003014A8" w:rsidP="003014A8">
            <w:pPr>
              <w:spacing w:before="0" w:after="0" w:line="240" w:lineRule="auto"/>
              <w:ind w:firstLine="0"/>
              <w:jc w:val="center"/>
              <w:rPr>
                <w:sz w:val="20"/>
              </w:rPr>
            </w:pPr>
            <w:r w:rsidRPr="003014A8">
              <w:rPr>
                <w:sz w:val="20"/>
              </w:rPr>
              <w:t>1,543.67</w:t>
            </w:r>
          </w:p>
        </w:tc>
      </w:tr>
    </w:tbl>
    <w:p w:rsidR="00CE6919" w:rsidRDefault="00CE6919" w:rsidP="00CE6919">
      <w:pPr>
        <w:rPr>
          <w:sz w:val="18"/>
          <w:szCs w:val="18"/>
        </w:rPr>
      </w:pPr>
      <w:r w:rsidRPr="00F413F8">
        <w:rPr>
          <w:sz w:val="18"/>
          <w:szCs w:val="18"/>
        </w:rPr>
        <w:t xml:space="preserve">Fuente: Elaboración propia IGH </w:t>
      </w:r>
      <w:r>
        <w:rPr>
          <w:sz w:val="18"/>
          <w:szCs w:val="18"/>
        </w:rPr>
        <w:t xml:space="preserve"> con base a la información del DSAPAS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17"/>
        <w:gridCol w:w="3587"/>
      </w:tblGrid>
      <w:tr w:rsidR="00CE6919" w:rsidTr="00A72163">
        <w:tc>
          <w:tcPr>
            <w:tcW w:w="6345" w:type="dxa"/>
          </w:tcPr>
          <w:p w:rsidR="00563F3C" w:rsidRDefault="00563F3C" w:rsidP="00CE6919">
            <w:r>
              <w:lastRenderedPageBreak/>
              <w:t>714 localidades en la zona de estudio presentan coberturas menores al 50</w:t>
            </w:r>
            <w:r w:rsidR="009C3B08">
              <w:t>.0</w:t>
            </w:r>
            <w:r>
              <w:t xml:space="preserve">%, de las cuales 708 son localidades rurales, 408 </w:t>
            </w:r>
            <w:r w:rsidR="009C3B08">
              <w:t>están</w:t>
            </w:r>
            <w:r>
              <w:t xml:space="preserve"> en el acuífero de Libres-Oriental, 153 en el acuífero de Huamantla y 83 en el acuífero de Perote.</w:t>
            </w:r>
          </w:p>
          <w:p w:rsidR="00563F3C" w:rsidRDefault="00563F3C" w:rsidP="00CE6919">
            <w:r>
              <w:t>Las  6  localidades urbanas con cobertura menor al 50% se  enlistan en la siguiente tabla.</w:t>
            </w:r>
          </w:p>
          <w:p w:rsidR="002F3332" w:rsidRDefault="002F3332" w:rsidP="00CE6919"/>
          <w:tbl>
            <w:tblPr>
              <w:tblStyle w:val="Tablabsica1"/>
              <w:tblpPr w:leftFromText="141" w:rightFromText="141" w:vertAnchor="text" w:horzAnchor="margin" w:tblpY="-419"/>
              <w:tblOverlap w:val="never"/>
              <w:tblW w:w="0" w:type="auto"/>
              <w:tblLook w:val="04A0"/>
            </w:tblPr>
            <w:tblGrid>
              <w:gridCol w:w="987"/>
              <w:gridCol w:w="2117"/>
              <w:gridCol w:w="1591"/>
              <w:gridCol w:w="125"/>
              <w:gridCol w:w="822"/>
              <w:gridCol w:w="125"/>
            </w:tblGrid>
            <w:tr w:rsidR="009C3B08" w:rsidRPr="002F3332" w:rsidTr="009C3B08">
              <w:trPr>
                <w:gridAfter w:val="1"/>
                <w:cnfStyle w:val="100000000000"/>
                <w:wAfter w:w="125" w:type="dxa"/>
              </w:trPr>
              <w:tc>
                <w:tcPr>
                  <w:tcW w:w="987" w:type="dxa"/>
                </w:tcPr>
                <w:p w:rsidR="00563F3C" w:rsidRPr="002F3332" w:rsidRDefault="00A72163" w:rsidP="00563F3C">
                  <w:pPr>
                    <w:spacing w:before="0" w:after="0" w:line="240" w:lineRule="auto"/>
                    <w:ind w:firstLine="0"/>
                    <w:rPr>
                      <w:sz w:val="16"/>
                      <w:szCs w:val="16"/>
                    </w:rPr>
                  </w:pPr>
                  <w:r>
                    <w:rPr>
                      <w:sz w:val="16"/>
                      <w:szCs w:val="16"/>
                    </w:rPr>
                    <w:t>Estado</w:t>
                  </w:r>
                </w:p>
              </w:tc>
              <w:tc>
                <w:tcPr>
                  <w:tcW w:w="2117" w:type="dxa"/>
                </w:tcPr>
                <w:p w:rsidR="00563F3C" w:rsidRPr="002F3332" w:rsidRDefault="00563F3C" w:rsidP="00563F3C">
                  <w:pPr>
                    <w:spacing w:before="0" w:after="0" w:line="240" w:lineRule="auto"/>
                    <w:ind w:firstLine="0"/>
                    <w:rPr>
                      <w:sz w:val="16"/>
                      <w:szCs w:val="16"/>
                    </w:rPr>
                  </w:pPr>
                  <w:r>
                    <w:rPr>
                      <w:sz w:val="16"/>
                      <w:szCs w:val="16"/>
                    </w:rPr>
                    <w:t>Municipio</w:t>
                  </w:r>
                </w:p>
              </w:tc>
              <w:tc>
                <w:tcPr>
                  <w:tcW w:w="1591" w:type="dxa"/>
                </w:tcPr>
                <w:p w:rsidR="00563F3C" w:rsidRPr="002F3332" w:rsidRDefault="00563F3C" w:rsidP="00563F3C">
                  <w:pPr>
                    <w:spacing w:before="0" w:after="0" w:line="240" w:lineRule="auto"/>
                    <w:ind w:firstLine="0"/>
                    <w:rPr>
                      <w:sz w:val="16"/>
                      <w:szCs w:val="16"/>
                    </w:rPr>
                  </w:pPr>
                  <w:r>
                    <w:rPr>
                      <w:sz w:val="16"/>
                      <w:szCs w:val="16"/>
                    </w:rPr>
                    <w:t>Localidad</w:t>
                  </w:r>
                </w:p>
              </w:tc>
              <w:tc>
                <w:tcPr>
                  <w:tcW w:w="947" w:type="dxa"/>
                  <w:gridSpan w:val="2"/>
                </w:tcPr>
                <w:p w:rsidR="00563F3C" w:rsidRPr="002F3332" w:rsidRDefault="00563F3C" w:rsidP="00A72163">
                  <w:pPr>
                    <w:spacing w:before="0" w:after="0" w:line="240" w:lineRule="auto"/>
                    <w:ind w:firstLine="0"/>
                    <w:jc w:val="center"/>
                    <w:rPr>
                      <w:sz w:val="16"/>
                      <w:szCs w:val="16"/>
                    </w:rPr>
                  </w:pPr>
                  <w:proofErr w:type="spellStart"/>
                  <w:r>
                    <w:rPr>
                      <w:sz w:val="16"/>
                      <w:szCs w:val="16"/>
                    </w:rPr>
                    <w:t>Cobertua</w:t>
                  </w:r>
                  <w:proofErr w:type="spellEnd"/>
                </w:p>
              </w:tc>
            </w:tr>
            <w:tr w:rsidR="009C3B08" w:rsidRPr="002F3332" w:rsidTr="009C3B08">
              <w:tc>
                <w:tcPr>
                  <w:tcW w:w="987" w:type="dxa"/>
                </w:tcPr>
                <w:p w:rsidR="00563F3C" w:rsidRPr="002F3332" w:rsidRDefault="00563F3C" w:rsidP="00563F3C">
                  <w:pPr>
                    <w:spacing w:before="0" w:after="0" w:line="240" w:lineRule="auto"/>
                    <w:ind w:firstLine="0"/>
                    <w:rPr>
                      <w:sz w:val="16"/>
                      <w:szCs w:val="16"/>
                    </w:rPr>
                  </w:pPr>
                  <w:r w:rsidRPr="002F3332">
                    <w:rPr>
                      <w:sz w:val="16"/>
                      <w:szCs w:val="16"/>
                    </w:rPr>
                    <w:t>Puebla</w:t>
                  </w:r>
                </w:p>
              </w:tc>
              <w:tc>
                <w:tcPr>
                  <w:tcW w:w="2117" w:type="dxa"/>
                </w:tcPr>
                <w:p w:rsidR="00563F3C" w:rsidRPr="002F3332" w:rsidRDefault="00563F3C" w:rsidP="00563F3C">
                  <w:pPr>
                    <w:spacing w:before="0" w:after="0" w:line="240" w:lineRule="auto"/>
                    <w:ind w:firstLine="0"/>
                    <w:rPr>
                      <w:sz w:val="16"/>
                      <w:szCs w:val="16"/>
                    </w:rPr>
                  </w:pPr>
                  <w:proofErr w:type="spellStart"/>
                  <w:r w:rsidRPr="002F3332">
                    <w:rPr>
                      <w:sz w:val="16"/>
                      <w:szCs w:val="16"/>
                    </w:rPr>
                    <w:t>Cuyoaco</w:t>
                  </w:r>
                  <w:proofErr w:type="spellEnd"/>
                </w:p>
              </w:tc>
              <w:tc>
                <w:tcPr>
                  <w:tcW w:w="1716" w:type="dxa"/>
                  <w:gridSpan w:val="2"/>
                </w:tcPr>
                <w:p w:rsidR="00563F3C" w:rsidRPr="002F3332" w:rsidRDefault="00563F3C" w:rsidP="00563F3C">
                  <w:pPr>
                    <w:spacing w:before="0" w:after="0" w:line="240" w:lineRule="auto"/>
                    <w:ind w:firstLine="0"/>
                    <w:rPr>
                      <w:sz w:val="16"/>
                      <w:szCs w:val="16"/>
                    </w:rPr>
                  </w:pPr>
                  <w:r w:rsidRPr="002F3332">
                    <w:rPr>
                      <w:sz w:val="16"/>
                      <w:szCs w:val="16"/>
                    </w:rPr>
                    <w:t xml:space="preserve">San Andrés </w:t>
                  </w:r>
                  <w:proofErr w:type="spellStart"/>
                  <w:r w:rsidRPr="002F3332">
                    <w:rPr>
                      <w:sz w:val="16"/>
                      <w:szCs w:val="16"/>
                    </w:rPr>
                    <w:t>Payuca</w:t>
                  </w:r>
                  <w:proofErr w:type="spellEnd"/>
                </w:p>
              </w:tc>
              <w:tc>
                <w:tcPr>
                  <w:tcW w:w="947" w:type="dxa"/>
                  <w:gridSpan w:val="2"/>
                </w:tcPr>
                <w:p w:rsidR="00563F3C" w:rsidRPr="002F3332" w:rsidRDefault="00563F3C" w:rsidP="00A72163">
                  <w:pPr>
                    <w:spacing w:before="0" w:after="0" w:line="240" w:lineRule="auto"/>
                    <w:ind w:firstLine="0"/>
                    <w:jc w:val="center"/>
                    <w:rPr>
                      <w:sz w:val="16"/>
                      <w:szCs w:val="16"/>
                    </w:rPr>
                  </w:pPr>
                  <w:r w:rsidRPr="002F3332">
                    <w:rPr>
                      <w:sz w:val="16"/>
                      <w:szCs w:val="16"/>
                    </w:rPr>
                    <w:t>43.2%</w:t>
                  </w:r>
                </w:p>
              </w:tc>
            </w:tr>
            <w:tr w:rsidR="009C3B08" w:rsidRPr="002F3332" w:rsidTr="009C3B08">
              <w:tc>
                <w:tcPr>
                  <w:tcW w:w="987" w:type="dxa"/>
                </w:tcPr>
                <w:p w:rsidR="00563F3C" w:rsidRPr="002F3332" w:rsidRDefault="00563F3C" w:rsidP="00563F3C">
                  <w:pPr>
                    <w:spacing w:before="0" w:after="0" w:line="240" w:lineRule="auto"/>
                    <w:ind w:firstLine="0"/>
                    <w:rPr>
                      <w:sz w:val="16"/>
                      <w:szCs w:val="16"/>
                    </w:rPr>
                  </w:pPr>
                  <w:r w:rsidRPr="002F3332">
                    <w:rPr>
                      <w:sz w:val="16"/>
                      <w:szCs w:val="16"/>
                    </w:rPr>
                    <w:t>Puebla</w:t>
                  </w:r>
                </w:p>
              </w:tc>
              <w:tc>
                <w:tcPr>
                  <w:tcW w:w="2117" w:type="dxa"/>
                </w:tcPr>
                <w:p w:rsidR="00563F3C" w:rsidRPr="002F3332" w:rsidRDefault="00563F3C" w:rsidP="00563F3C">
                  <w:pPr>
                    <w:spacing w:before="0" w:after="0" w:line="240" w:lineRule="auto"/>
                    <w:ind w:firstLine="0"/>
                    <w:rPr>
                      <w:sz w:val="16"/>
                      <w:szCs w:val="16"/>
                    </w:rPr>
                  </w:pPr>
                  <w:proofErr w:type="spellStart"/>
                  <w:r w:rsidRPr="002F3332">
                    <w:rPr>
                      <w:sz w:val="16"/>
                      <w:szCs w:val="16"/>
                    </w:rPr>
                    <w:t>Chilchotla</w:t>
                  </w:r>
                  <w:proofErr w:type="spellEnd"/>
                </w:p>
              </w:tc>
              <w:tc>
                <w:tcPr>
                  <w:tcW w:w="1716" w:type="dxa"/>
                  <w:gridSpan w:val="2"/>
                </w:tcPr>
                <w:p w:rsidR="00563F3C" w:rsidRPr="002F3332" w:rsidRDefault="00563F3C" w:rsidP="00563F3C">
                  <w:pPr>
                    <w:spacing w:before="0" w:after="0" w:line="240" w:lineRule="auto"/>
                    <w:ind w:firstLine="0"/>
                    <w:rPr>
                      <w:sz w:val="16"/>
                      <w:szCs w:val="16"/>
                    </w:rPr>
                  </w:pPr>
                  <w:r w:rsidRPr="002F3332">
                    <w:rPr>
                      <w:sz w:val="16"/>
                      <w:szCs w:val="16"/>
                    </w:rPr>
                    <w:t>Francisco I. Madero</w:t>
                  </w:r>
                </w:p>
              </w:tc>
              <w:tc>
                <w:tcPr>
                  <w:tcW w:w="947" w:type="dxa"/>
                  <w:gridSpan w:val="2"/>
                </w:tcPr>
                <w:p w:rsidR="00563F3C" w:rsidRPr="002F3332" w:rsidRDefault="00563F3C" w:rsidP="00A72163">
                  <w:pPr>
                    <w:spacing w:before="0" w:after="0" w:line="240" w:lineRule="auto"/>
                    <w:ind w:firstLine="0"/>
                    <w:jc w:val="center"/>
                    <w:rPr>
                      <w:sz w:val="16"/>
                      <w:szCs w:val="16"/>
                    </w:rPr>
                  </w:pPr>
                  <w:r w:rsidRPr="002F3332">
                    <w:rPr>
                      <w:sz w:val="16"/>
                      <w:szCs w:val="16"/>
                    </w:rPr>
                    <w:t>30.1%</w:t>
                  </w:r>
                </w:p>
              </w:tc>
            </w:tr>
            <w:tr w:rsidR="009C3B08" w:rsidRPr="002F3332" w:rsidTr="009C3B08">
              <w:tc>
                <w:tcPr>
                  <w:tcW w:w="987" w:type="dxa"/>
                </w:tcPr>
                <w:p w:rsidR="00563F3C" w:rsidRPr="002F3332" w:rsidRDefault="00563F3C" w:rsidP="00563F3C">
                  <w:pPr>
                    <w:spacing w:before="0" w:after="0" w:line="240" w:lineRule="auto"/>
                    <w:ind w:firstLine="0"/>
                    <w:rPr>
                      <w:sz w:val="16"/>
                      <w:szCs w:val="16"/>
                    </w:rPr>
                  </w:pPr>
                  <w:r w:rsidRPr="002F3332">
                    <w:rPr>
                      <w:sz w:val="16"/>
                      <w:szCs w:val="16"/>
                    </w:rPr>
                    <w:t>Puebla</w:t>
                  </w:r>
                </w:p>
              </w:tc>
              <w:tc>
                <w:tcPr>
                  <w:tcW w:w="2117" w:type="dxa"/>
                </w:tcPr>
                <w:p w:rsidR="00563F3C" w:rsidRPr="002F3332" w:rsidRDefault="00563F3C" w:rsidP="00563F3C">
                  <w:pPr>
                    <w:spacing w:before="0" w:after="0" w:line="240" w:lineRule="auto"/>
                    <w:ind w:firstLine="0"/>
                    <w:rPr>
                      <w:sz w:val="16"/>
                      <w:szCs w:val="16"/>
                    </w:rPr>
                  </w:pPr>
                  <w:proofErr w:type="spellStart"/>
                  <w:r w:rsidRPr="002F3332">
                    <w:rPr>
                      <w:sz w:val="16"/>
                      <w:szCs w:val="16"/>
                    </w:rPr>
                    <w:t>Nopalucan</w:t>
                  </w:r>
                  <w:proofErr w:type="spellEnd"/>
                </w:p>
              </w:tc>
              <w:tc>
                <w:tcPr>
                  <w:tcW w:w="1716" w:type="dxa"/>
                  <w:gridSpan w:val="2"/>
                </w:tcPr>
                <w:p w:rsidR="00563F3C" w:rsidRPr="002F3332" w:rsidRDefault="00563F3C" w:rsidP="00563F3C">
                  <w:pPr>
                    <w:spacing w:before="0" w:after="0" w:line="240" w:lineRule="auto"/>
                    <w:ind w:firstLine="0"/>
                    <w:rPr>
                      <w:sz w:val="16"/>
                      <w:szCs w:val="16"/>
                    </w:rPr>
                  </w:pPr>
                  <w:r w:rsidRPr="002F3332">
                    <w:rPr>
                      <w:sz w:val="16"/>
                      <w:szCs w:val="16"/>
                    </w:rPr>
                    <w:t xml:space="preserve">El Rincón </w:t>
                  </w:r>
                  <w:proofErr w:type="spellStart"/>
                  <w:r w:rsidRPr="002F3332">
                    <w:rPr>
                      <w:sz w:val="16"/>
                      <w:szCs w:val="16"/>
                    </w:rPr>
                    <w:t>Citlaltépetl</w:t>
                  </w:r>
                  <w:proofErr w:type="spellEnd"/>
                </w:p>
              </w:tc>
              <w:tc>
                <w:tcPr>
                  <w:tcW w:w="947" w:type="dxa"/>
                  <w:gridSpan w:val="2"/>
                </w:tcPr>
                <w:p w:rsidR="00563F3C" w:rsidRPr="002F3332" w:rsidRDefault="00563F3C" w:rsidP="00A72163">
                  <w:pPr>
                    <w:spacing w:before="0" w:after="0" w:line="240" w:lineRule="auto"/>
                    <w:ind w:firstLine="0"/>
                    <w:jc w:val="center"/>
                    <w:rPr>
                      <w:sz w:val="16"/>
                      <w:szCs w:val="16"/>
                    </w:rPr>
                  </w:pPr>
                  <w:r w:rsidRPr="002F3332">
                    <w:rPr>
                      <w:sz w:val="16"/>
                      <w:szCs w:val="16"/>
                    </w:rPr>
                    <w:t>49.5%</w:t>
                  </w:r>
                </w:p>
              </w:tc>
            </w:tr>
            <w:tr w:rsidR="009C3B08" w:rsidRPr="002F3332" w:rsidTr="009C3B08">
              <w:tc>
                <w:tcPr>
                  <w:tcW w:w="987" w:type="dxa"/>
                </w:tcPr>
                <w:p w:rsidR="00563F3C" w:rsidRPr="002F3332" w:rsidRDefault="00563F3C" w:rsidP="00563F3C">
                  <w:pPr>
                    <w:spacing w:before="0" w:after="0" w:line="240" w:lineRule="auto"/>
                    <w:ind w:firstLine="0"/>
                    <w:rPr>
                      <w:sz w:val="16"/>
                      <w:szCs w:val="16"/>
                    </w:rPr>
                  </w:pPr>
                  <w:r w:rsidRPr="002F3332">
                    <w:rPr>
                      <w:sz w:val="16"/>
                      <w:szCs w:val="16"/>
                    </w:rPr>
                    <w:t>Puebla</w:t>
                  </w:r>
                </w:p>
              </w:tc>
              <w:tc>
                <w:tcPr>
                  <w:tcW w:w="2117" w:type="dxa"/>
                </w:tcPr>
                <w:p w:rsidR="00563F3C" w:rsidRPr="002F3332" w:rsidRDefault="00563F3C" w:rsidP="00563F3C">
                  <w:pPr>
                    <w:spacing w:before="0" w:after="0" w:line="240" w:lineRule="auto"/>
                    <w:ind w:firstLine="0"/>
                    <w:rPr>
                      <w:sz w:val="16"/>
                      <w:szCs w:val="16"/>
                    </w:rPr>
                  </w:pPr>
                  <w:r w:rsidRPr="002F3332">
                    <w:rPr>
                      <w:sz w:val="16"/>
                      <w:szCs w:val="16"/>
                    </w:rPr>
                    <w:t xml:space="preserve">San José </w:t>
                  </w:r>
                  <w:proofErr w:type="spellStart"/>
                  <w:r w:rsidRPr="002F3332">
                    <w:rPr>
                      <w:sz w:val="16"/>
                      <w:szCs w:val="16"/>
                    </w:rPr>
                    <w:t>Chiapa</w:t>
                  </w:r>
                  <w:proofErr w:type="spellEnd"/>
                </w:p>
              </w:tc>
              <w:tc>
                <w:tcPr>
                  <w:tcW w:w="1716" w:type="dxa"/>
                  <w:gridSpan w:val="2"/>
                </w:tcPr>
                <w:p w:rsidR="00563F3C" w:rsidRPr="002F3332" w:rsidRDefault="00563F3C" w:rsidP="00563F3C">
                  <w:pPr>
                    <w:spacing w:before="0" w:after="0" w:line="240" w:lineRule="auto"/>
                    <w:ind w:firstLine="0"/>
                    <w:rPr>
                      <w:sz w:val="16"/>
                      <w:szCs w:val="16"/>
                    </w:rPr>
                  </w:pPr>
                  <w:r w:rsidRPr="002F3332">
                    <w:rPr>
                      <w:sz w:val="16"/>
                      <w:szCs w:val="16"/>
                    </w:rPr>
                    <w:t xml:space="preserve">San José </w:t>
                  </w:r>
                  <w:proofErr w:type="spellStart"/>
                  <w:r w:rsidRPr="002F3332">
                    <w:rPr>
                      <w:sz w:val="16"/>
                      <w:szCs w:val="16"/>
                    </w:rPr>
                    <w:t>Chiapa</w:t>
                  </w:r>
                  <w:proofErr w:type="spellEnd"/>
                </w:p>
              </w:tc>
              <w:tc>
                <w:tcPr>
                  <w:tcW w:w="947" w:type="dxa"/>
                  <w:gridSpan w:val="2"/>
                </w:tcPr>
                <w:p w:rsidR="00563F3C" w:rsidRPr="002F3332" w:rsidRDefault="00563F3C" w:rsidP="00A72163">
                  <w:pPr>
                    <w:spacing w:before="0" w:after="0" w:line="240" w:lineRule="auto"/>
                    <w:ind w:firstLine="0"/>
                    <w:jc w:val="center"/>
                    <w:rPr>
                      <w:sz w:val="16"/>
                      <w:szCs w:val="16"/>
                    </w:rPr>
                  </w:pPr>
                  <w:r w:rsidRPr="002F3332">
                    <w:rPr>
                      <w:sz w:val="16"/>
                      <w:szCs w:val="16"/>
                    </w:rPr>
                    <w:t>39.8%</w:t>
                  </w:r>
                </w:p>
              </w:tc>
            </w:tr>
            <w:tr w:rsidR="009C3B08" w:rsidRPr="002F3332" w:rsidTr="009C3B08">
              <w:tc>
                <w:tcPr>
                  <w:tcW w:w="987" w:type="dxa"/>
                </w:tcPr>
                <w:p w:rsidR="00563F3C" w:rsidRPr="002F3332" w:rsidRDefault="00563F3C" w:rsidP="00563F3C">
                  <w:pPr>
                    <w:spacing w:before="0" w:after="0" w:line="240" w:lineRule="auto"/>
                    <w:ind w:firstLine="0"/>
                    <w:rPr>
                      <w:sz w:val="16"/>
                      <w:szCs w:val="16"/>
                    </w:rPr>
                  </w:pPr>
                  <w:r w:rsidRPr="002F3332">
                    <w:rPr>
                      <w:sz w:val="16"/>
                      <w:szCs w:val="16"/>
                    </w:rPr>
                    <w:t>Puebla</w:t>
                  </w:r>
                </w:p>
              </w:tc>
              <w:tc>
                <w:tcPr>
                  <w:tcW w:w="2117" w:type="dxa"/>
                </w:tcPr>
                <w:p w:rsidR="00563F3C" w:rsidRPr="002F3332" w:rsidRDefault="00563F3C" w:rsidP="00563F3C">
                  <w:pPr>
                    <w:spacing w:before="0" w:after="0" w:line="240" w:lineRule="auto"/>
                    <w:ind w:firstLine="0"/>
                    <w:rPr>
                      <w:sz w:val="16"/>
                      <w:szCs w:val="16"/>
                    </w:rPr>
                  </w:pPr>
                  <w:r w:rsidRPr="002F3332">
                    <w:rPr>
                      <w:sz w:val="16"/>
                      <w:szCs w:val="16"/>
                    </w:rPr>
                    <w:t>San Nicolás Buenos Aires</w:t>
                  </w:r>
                </w:p>
              </w:tc>
              <w:tc>
                <w:tcPr>
                  <w:tcW w:w="1716" w:type="dxa"/>
                  <w:gridSpan w:val="2"/>
                </w:tcPr>
                <w:p w:rsidR="00563F3C" w:rsidRPr="002F3332" w:rsidRDefault="00563F3C" w:rsidP="00563F3C">
                  <w:pPr>
                    <w:spacing w:before="0" w:after="0" w:line="240" w:lineRule="auto"/>
                    <w:ind w:firstLine="0"/>
                    <w:rPr>
                      <w:sz w:val="16"/>
                      <w:szCs w:val="16"/>
                    </w:rPr>
                  </w:pPr>
                  <w:r w:rsidRPr="002F3332">
                    <w:rPr>
                      <w:sz w:val="16"/>
                      <w:szCs w:val="16"/>
                    </w:rPr>
                    <w:t>Emilio Portes Gil</w:t>
                  </w:r>
                </w:p>
              </w:tc>
              <w:tc>
                <w:tcPr>
                  <w:tcW w:w="947" w:type="dxa"/>
                  <w:gridSpan w:val="2"/>
                </w:tcPr>
                <w:p w:rsidR="00563F3C" w:rsidRPr="002F3332" w:rsidRDefault="00563F3C" w:rsidP="00A72163">
                  <w:pPr>
                    <w:spacing w:before="0" w:after="0" w:line="240" w:lineRule="auto"/>
                    <w:ind w:firstLine="0"/>
                    <w:jc w:val="center"/>
                    <w:rPr>
                      <w:sz w:val="16"/>
                      <w:szCs w:val="16"/>
                    </w:rPr>
                  </w:pPr>
                  <w:r w:rsidRPr="002F3332">
                    <w:rPr>
                      <w:sz w:val="16"/>
                      <w:szCs w:val="16"/>
                    </w:rPr>
                    <w:t>36.5%</w:t>
                  </w:r>
                </w:p>
              </w:tc>
            </w:tr>
            <w:tr w:rsidR="009C3B08" w:rsidRPr="002F3332" w:rsidTr="009C3B08">
              <w:tc>
                <w:tcPr>
                  <w:tcW w:w="987" w:type="dxa"/>
                </w:tcPr>
                <w:p w:rsidR="00563F3C" w:rsidRPr="002F3332" w:rsidRDefault="00563F3C" w:rsidP="00563F3C">
                  <w:pPr>
                    <w:spacing w:before="0" w:after="0" w:line="240" w:lineRule="auto"/>
                    <w:ind w:firstLine="0"/>
                    <w:rPr>
                      <w:sz w:val="16"/>
                      <w:szCs w:val="16"/>
                    </w:rPr>
                  </w:pPr>
                  <w:r w:rsidRPr="002F3332">
                    <w:rPr>
                      <w:sz w:val="16"/>
                      <w:szCs w:val="16"/>
                    </w:rPr>
                    <w:t xml:space="preserve">Veracruz </w:t>
                  </w:r>
                </w:p>
              </w:tc>
              <w:tc>
                <w:tcPr>
                  <w:tcW w:w="2117" w:type="dxa"/>
                </w:tcPr>
                <w:p w:rsidR="00563F3C" w:rsidRPr="002F3332" w:rsidRDefault="00563F3C" w:rsidP="00563F3C">
                  <w:pPr>
                    <w:spacing w:before="0" w:after="0" w:line="240" w:lineRule="auto"/>
                    <w:ind w:firstLine="0"/>
                    <w:rPr>
                      <w:sz w:val="16"/>
                      <w:szCs w:val="16"/>
                    </w:rPr>
                  </w:pPr>
                  <w:r w:rsidRPr="002F3332">
                    <w:rPr>
                      <w:sz w:val="16"/>
                      <w:szCs w:val="16"/>
                    </w:rPr>
                    <w:t>Perote</w:t>
                  </w:r>
                </w:p>
              </w:tc>
              <w:tc>
                <w:tcPr>
                  <w:tcW w:w="1716" w:type="dxa"/>
                  <w:gridSpan w:val="2"/>
                </w:tcPr>
                <w:p w:rsidR="00563F3C" w:rsidRPr="002F3332" w:rsidRDefault="00563F3C" w:rsidP="00563F3C">
                  <w:pPr>
                    <w:spacing w:before="0" w:after="0" w:line="240" w:lineRule="auto"/>
                    <w:ind w:firstLine="0"/>
                    <w:rPr>
                      <w:sz w:val="16"/>
                      <w:szCs w:val="16"/>
                    </w:rPr>
                  </w:pPr>
                  <w:r w:rsidRPr="002F3332">
                    <w:rPr>
                      <w:sz w:val="16"/>
                      <w:szCs w:val="16"/>
                    </w:rPr>
                    <w:t xml:space="preserve">San Antonio Limón </w:t>
                  </w:r>
                </w:p>
              </w:tc>
              <w:tc>
                <w:tcPr>
                  <w:tcW w:w="947" w:type="dxa"/>
                  <w:gridSpan w:val="2"/>
                </w:tcPr>
                <w:p w:rsidR="00563F3C" w:rsidRPr="002F3332" w:rsidRDefault="00563F3C" w:rsidP="00A72163">
                  <w:pPr>
                    <w:spacing w:before="0" w:after="0" w:line="240" w:lineRule="auto"/>
                    <w:ind w:firstLine="0"/>
                    <w:jc w:val="center"/>
                    <w:rPr>
                      <w:sz w:val="16"/>
                      <w:szCs w:val="16"/>
                    </w:rPr>
                  </w:pPr>
                  <w:r w:rsidRPr="002F3332">
                    <w:rPr>
                      <w:sz w:val="16"/>
                      <w:szCs w:val="16"/>
                    </w:rPr>
                    <w:t>47.9%</w:t>
                  </w:r>
                </w:p>
              </w:tc>
            </w:tr>
          </w:tbl>
          <w:p w:rsidR="00CE6919" w:rsidRDefault="00CE6919" w:rsidP="002F3332"/>
        </w:tc>
        <w:tc>
          <w:tcPr>
            <w:tcW w:w="2916" w:type="dxa"/>
          </w:tcPr>
          <w:p w:rsidR="002F3332" w:rsidRDefault="002F3332" w:rsidP="00563F3C">
            <w:pPr>
              <w:ind w:left="176" w:firstLine="0"/>
            </w:pPr>
            <w:r>
              <w:t xml:space="preserve">Son 11 los municipios que presentan coberturas menores al 50%, los cuales se enlistan en la siguiente tabla. </w:t>
            </w:r>
          </w:p>
          <w:p w:rsidR="009C3B08" w:rsidRPr="009C3B08" w:rsidRDefault="009C3B08" w:rsidP="00563F3C">
            <w:pPr>
              <w:ind w:left="176" w:firstLine="0"/>
              <w:rPr>
                <w:sz w:val="16"/>
                <w:szCs w:val="16"/>
              </w:rPr>
            </w:pPr>
          </w:p>
          <w:tbl>
            <w:tblPr>
              <w:tblStyle w:val="Tablabsica1"/>
              <w:tblW w:w="3371" w:type="dxa"/>
              <w:jc w:val="center"/>
              <w:tblLook w:val="04A0"/>
            </w:tblPr>
            <w:tblGrid>
              <w:gridCol w:w="803"/>
              <w:gridCol w:w="1499"/>
              <w:gridCol w:w="1069"/>
            </w:tblGrid>
            <w:tr w:rsidR="009C3B08" w:rsidRPr="002F3332" w:rsidTr="009C3B08">
              <w:trPr>
                <w:cnfStyle w:val="100000000000"/>
                <w:jc w:val="center"/>
              </w:trPr>
              <w:tc>
                <w:tcPr>
                  <w:tcW w:w="803" w:type="dxa"/>
                </w:tcPr>
                <w:p w:rsidR="009C3B08" w:rsidRPr="002F3332" w:rsidRDefault="009C3B08" w:rsidP="002E4597">
                  <w:pPr>
                    <w:spacing w:before="0" w:after="0" w:line="240" w:lineRule="auto"/>
                    <w:ind w:firstLine="0"/>
                    <w:rPr>
                      <w:sz w:val="16"/>
                      <w:szCs w:val="16"/>
                    </w:rPr>
                  </w:pPr>
                  <w:r>
                    <w:rPr>
                      <w:sz w:val="16"/>
                      <w:szCs w:val="16"/>
                    </w:rPr>
                    <w:t>Estado</w:t>
                  </w:r>
                </w:p>
              </w:tc>
              <w:tc>
                <w:tcPr>
                  <w:tcW w:w="1499" w:type="dxa"/>
                </w:tcPr>
                <w:p w:rsidR="009C3B08" w:rsidRPr="002F3332" w:rsidRDefault="009C3B08" w:rsidP="002E4597">
                  <w:pPr>
                    <w:spacing w:before="0" w:after="0" w:line="240" w:lineRule="auto"/>
                    <w:ind w:firstLine="0"/>
                    <w:rPr>
                      <w:sz w:val="16"/>
                      <w:szCs w:val="16"/>
                    </w:rPr>
                  </w:pPr>
                  <w:r w:rsidRPr="002F3332">
                    <w:rPr>
                      <w:sz w:val="16"/>
                      <w:szCs w:val="16"/>
                    </w:rPr>
                    <w:t>Municipio</w:t>
                  </w:r>
                </w:p>
              </w:tc>
              <w:tc>
                <w:tcPr>
                  <w:tcW w:w="1069" w:type="dxa"/>
                </w:tcPr>
                <w:p w:rsidR="009C3B08" w:rsidRPr="002F3332" w:rsidRDefault="009C3B08" w:rsidP="002E4597">
                  <w:pPr>
                    <w:spacing w:before="0" w:after="0" w:line="240" w:lineRule="auto"/>
                    <w:ind w:firstLine="0"/>
                    <w:rPr>
                      <w:sz w:val="16"/>
                      <w:szCs w:val="16"/>
                    </w:rPr>
                  </w:pPr>
                  <w:r w:rsidRPr="002F3332">
                    <w:rPr>
                      <w:sz w:val="16"/>
                      <w:szCs w:val="16"/>
                    </w:rPr>
                    <w:t>Cobertura</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Chignautla</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45.4%</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Chilchotla</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44.7%</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r w:rsidRPr="002F3332">
                    <w:rPr>
                      <w:sz w:val="16"/>
                      <w:szCs w:val="16"/>
                    </w:rPr>
                    <w:t>Tepeyahualco</w:t>
                  </w:r>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40.7%</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Ixtacamaxtitlán</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38.0%</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r w:rsidRPr="002F3332">
                    <w:rPr>
                      <w:sz w:val="16"/>
                      <w:szCs w:val="16"/>
                    </w:rPr>
                    <w:t xml:space="preserve">San José </w:t>
                  </w:r>
                  <w:proofErr w:type="spellStart"/>
                  <w:r w:rsidRPr="002F3332">
                    <w:rPr>
                      <w:sz w:val="16"/>
                      <w:szCs w:val="16"/>
                    </w:rPr>
                    <w:t>Chiapa</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33.3%</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Chichiquila</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23.1%</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9C3B08">
                  <w:pPr>
                    <w:spacing w:before="0" w:after="0" w:line="240" w:lineRule="auto"/>
                    <w:ind w:left="-638" w:firstLine="638"/>
                    <w:rPr>
                      <w:sz w:val="16"/>
                      <w:szCs w:val="16"/>
                    </w:rPr>
                  </w:pPr>
                  <w:proofErr w:type="spellStart"/>
                  <w:r w:rsidRPr="002F3332">
                    <w:rPr>
                      <w:sz w:val="16"/>
                      <w:szCs w:val="16"/>
                    </w:rPr>
                    <w:t>Quimixtlán</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22.3%</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Acajete</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20.1%</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Quecholac</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9.6%</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r w:rsidRPr="002F3332">
                    <w:rPr>
                      <w:sz w:val="16"/>
                      <w:szCs w:val="16"/>
                    </w:rPr>
                    <w:t>Xiutetelco</w:t>
                  </w:r>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9.6%</w:t>
                  </w:r>
                </w:p>
              </w:tc>
            </w:tr>
            <w:tr w:rsidR="009C3B08" w:rsidRPr="002F3332" w:rsidTr="009C3B08">
              <w:trPr>
                <w:jc w:val="center"/>
              </w:trPr>
              <w:tc>
                <w:tcPr>
                  <w:tcW w:w="803" w:type="dxa"/>
                </w:tcPr>
                <w:p w:rsidR="009C3B08" w:rsidRPr="002F3332" w:rsidRDefault="009C3B08" w:rsidP="002E4597">
                  <w:pPr>
                    <w:spacing w:before="0" w:after="0" w:line="240" w:lineRule="auto"/>
                    <w:ind w:firstLine="0"/>
                    <w:rPr>
                      <w:sz w:val="16"/>
                      <w:szCs w:val="16"/>
                    </w:rPr>
                  </w:pPr>
                  <w:r>
                    <w:rPr>
                      <w:sz w:val="16"/>
                      <w:szCs w:val="16"/>
                    </w:rPr>
                    <w:t>Puebla</w:t>
                  </w:r>
                </w:p>
              </w:tc>
              <w:tc>
                <w:tcPr>
                  <w:tcW w:w="1499" w:type="dxa"/>
                </w:tcPr>
                <w:p w:rsidR="009C3B08" w:rsidRPr="002F3332" w:rsidRDefault="009C3B08" w:rsidP="002E4597">
                  <w:pPr>
                    <w:spacing w:before="0" w:after="0" w:line="240" w:lineRule="auto"/>
                    <w:ind w:firstLine="0"/>
                    <w:rPr>
                      <w:sz w:val="16"/>
                      <w:szCs w:val="16"/>
                    </w:rPr>
                  </w:pPr>
                  <w:proofErr w:type="spellStart"/>
                  <w:r w:rsidRPr="002F3332">
                    <w:rPr>
                      <w:sz w:val="16"/>
                      <w:szCs w:val="16"/>
                    </w:rPr>
                    <w:t>Zautla</w:t>
                  </w:r>
                  <w:proofErr w:type="spellEnd"/>
                </w:p>
              </w:tc>
              <w:tc>
                <w:tcPr>
                  <w:tcW w:w="1069" w:type="dxa"/>
                </w:tcPr>
                <w:p w:rsidR="009C3B08" w:rsidRPr="002F3332" w:rsidRDefault="009C3B08" w:rsidP="00563F3C">
                  <w:pPr>
                    <w:spacing w:before="0" w:after="0" w:line="240" w:lineRule="auto"/>
                    <w:ind w:firstLine="0"/>
                    <w:jc w:val="right"/>
                    <w:rPr>
                      <w:sz w:val="16"/>
                      <w:szCs w:val="16"/>
                    </w:rPr>
                  </w:pPr>
                  <w:r w:rsidRPr="002F3332">
                    <w:rPr>
                      <w:sz w:val="16"/>
                      <w:szCs w:val="16"/>
                    </w:rPr>
                    <w:t>9.6%</w:t>
                  </w:r>
                </w:p>
              </w:tc>
            </w:tr>
          </w:tbl>
          <w:p w:rsidR="002F3332" w:rsidRDefault="002F3332" w:rsidP="00CE6919">
            <w:pPr>
              <w:ind w:firstLine="0"/>
              <w:jc w:val="right"/>
            </w:pPr>
          </w:p>
        </w:tc>
      </w:tr>
    </w:tbl>
    <w:p w:rsidR="003C4CA7" w:rsidRPr="00BD2915" w:rsidRDefault="003014A8" w:rsidP="003C4CA7">
      <w:pPr>
        <w:pStyle w:val="figura1cap5"/>
      </w:pPr>
      <w:r>
        <w:t>Cobertura de alcantarillado por localidad y municipio</w:t>
      </w:r>
    </w:p>
    <w:p w:rsidR="003C4CA7" w:rsidRDefault="00252325" w:rsidP="001D49F0">
      <w:pPr>
        <w:ind w:firstLine="0"/>
      </w:pPr>
      <w:r>
        <w:rPr>
          <w:noProof/>
          <w:lang w:eastAsia="es-MX"/>
        </w:rPr>
        <w:drawing>
          <wp:inline distT="0" distB="0" distL="0" distR="0">
            <wp:extent cx="6151880" cy="4753610"/>
            <wp:effectExtent l="19050" t="0" r="1270" b="0"/>
            <wp:docPr id="101" name="100 Imagen" descr="hlop_%AL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op_%ALC.gif"/>
                    <pic:cNvPicPr/>
                  </pic:nvPicPr>
                  <pic:blipFill>
                    <a:blip r:embed="rId66" cstate="print"/>
                    <a:stretch>
                      <a:fillRect/>
                    </a:stretch>
                  </pic:blipFill>
                  <pic:spPr>
                    <a:xfrm>
                      <a:off x="0" y="0"/>
                      <a:ext cx="6151880" cy="4753610"/>
                    </a:xfrm>
                    <a:prstGeom prst="rect">
                      <a:avLst/>
                    </a:prstGeom>
                  </pic:spPr>
                </pic:pic>
              </a:graphicData>
            </a:graphic>
          </wp:inline>
        </w:drawing>
      </w:r>
    </w:p>
    <w:p w:rsidR="003C4CA7" w:rsidRDefault="003C4CA7" w:rsidP="00202525"/>
    <w:p w:rsidR="00563F3C" w:rsidRDefault="00563F3C" w:rsidP="00563F3C">
      <w:pPr>
        <w:pStyle w:val="Ttulo4"/>
      </w:pPr>
      <w:bookmarkStart w:id="149" w:name="_Toc283886473"/>
      <w:r>
        <w:lastRenderedPageBreak/>
        <w:t>Agua residual tratada y sin tratar</w:t>
      </w:r>
      <w:bookmarkEnd w:id="149"/>
      <w:r>
        <w:t xml:space="preserve"> </w:t>
      </w:r>
    </w:p>
    <w:p w:rsidR="00202525" w:rsidRDefault="00593F70" w:rsidP="002F065B">
      <w:r>
        <w:t xml:space="preserve">El </w:t>
      </w:r>
      <w:r w:rsidR="002F065B">
        <w:t xml:space="preserve">agua potable representa escasamente </w:t>
      </w:r>
      <w:r>
        <w:t xml:space="preserve">el 9.6% del total del agua concesionada,  y se estima que la producción </w:t>
      </w:r>
      <w:r w:rsidR="002F065B">
        <w:t>de aguas residuales</w:t>
      </w:r>
      <w:r>
        <w:t xml:space="preserve"> </w:t>
      </w:r>
      <w:r w:rsidR="002F065B">
        <w:t xml:space="preserve">corresponde </w:t>
      </w:r>
      <w:r w:rsidR="002F065B" w:rsidRPr="00AB28D8">
        <w:t xml:space="preserve">al </w:t>
      </w:r>
      <w:r w:rsidR="000C313C" w:rsidRPr="00AB28D8">
        <w:t>75</w:t>
      </w:r>
      <w:r w:rsidR="002F065B" w:rsidRPr="00AB28D8">
        <w:t xml:space="preserve">% </w:t>
      </w:r>
      <w:r w:rsidR="000C313C" w:rsidRPr="00AB28D8">
        <w:t>de</w:t>
      </w:r>
      <w:r w:rsidR="002F065B">
        <w:t xml:space="preserve"> dicho aprovechamiento, resulta que la oferta de aguas residuales equivale a un </w:t>
      </w:r>
      <w:r>
        <w:t>7.2</w:t>
      </w:r>
      <w:r w:rsidR="002F065B">
        <w:t xml:space="preserve">% del uso total de agua </w:t>
      </w:r>
      <w:r>
        <w:t>concesionado</w:t>
      </w:r>
      <w:r w:rsidR="002F065B">
        <w:t xml:space="preserve"> en los ac</w:t>
      </w:r>
      <w:r>
        <w:t xml:space="preserve">uíferos; sin representar una </w:t>
      </w:r>
      <w:r w:rsidR="002F065B">
        <w:t xml:space="preserve">área de oportunidad, en principio por su falta de tratamiento y </w:t>
      </w:r>
      <w:r w:rsidR="00202525">
        <w:t xml:space="preserve">por la dispersión de las descargas (existen en el área de estudio 983 localidades), razón por la cual se estima viable el </w:t>
      </w:r>
      <w:proofErr w:type="spellStart"/>
      <w:r w:rsidR="00202525">
        <w:t>resuso</w:t>
      </w:r>
      <w:proofErr w:type="spellEnd"/>
      <w:r w:rsidR="00202525">
        <w:t xml:space="preserve"> de las </w:t>
      </w:r>
      <w:proofErr w:type="spellStart"/>
      <w:r w:rsidR="00202525">
        <w:t>agus</w:t>
      </w:r>
      <w:proofErr w:type="spellEnd"/>
      <w:r w:rsidR="00202525">
        <w:t xml:space="preserve"> residuales generadas por las poblaciones urbanas.</w:t>
      </w:r>
    </w:p>
    <w:p w:rsidR="008D35B9" w:rsidRDefault="002F065B" w:rsidP="002F065B">
      <w:r>
        <w:t>El incremento en la eficiencia física en los sistemas de agua potable, junto con la construcción de plantas de tratamiento, podrían incrementar el potencial de la oferta de aguas tratadas, que podría ser especialmente atractivo al aprovechar agua de las principales ciudades, sin embargo, será necesario disponer de éstas en sitios que no representen un riesgo de contaminación para el acuífero.</w:t>
      </w:r>
    </w:p>
    <w:p w:rsidR="005830CC" w:rsidRPr="00BD2915" w:rsidRDefault="005830CC" w:rsidP="005830CC">
      <w:pPr>
        <w:pStyle w:val="figura1cap5"/>
      </w:pPr>
      <w:r>
        <w:t>Cobertura de alcantarillado por localidad y municipio</w:t>
      </w:r>
    </w:p>
    <w:p w:rsidR="00DB2566" w:rsidRDefault="00DB2566" w:rsidP="005830CC">
      <w:pPr>
        <w:jc w:val="center"/>
      </w:pPr>
      <w:r>
        <w:rPr>
          <w:noProof/>
          <w:lang w:eastAsia="es-MX"/>
        </w:rPr>
        <w:drawing>
          <wp:inline distT="0" distB="0" distL="0" distR="0">
            <wp:extent cx="5314883" cy="4106856"/>
            <wp:effectExtent l="19050" t="0" r="67" b="0"/>
            <wp:docPr id="99" name="98 Imagen" descr="hlop_ptar_existen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op_ptar_existente.gif"/>
                    <pic:cNvPicPr/>
                  </pic:nvPicPr>
                  <pic:blipFill>
                    <a:blip r:embed="rId67" cstate="print"/>
                    <a:stretch>
                      <a:fillRect/>
                    </a:stretch>
                  </pic:blipFill>
                  <pic:spPr>
                    <a:xfrm>
                      <a:off x="0" y="0"/>
                      <a:ext cx="5318777" cy="4109865"/>
                    </a:xfrm>
                    <a:prstGeom prst="rect">
                      <a:avLst/>
                    </a:prstGeom>
                  </pic:spPr>
                </pic:pic>
              </a:graphicData>
            </a:graphic>
          </wp:inline>
        </w:drawing>
      </w:r>
    </w:p>
    <w:p w:rsidR="005830CC" w:rsidRDefault="005830CC">
      <w:pPr>
        <w:spacing w:before="0" w:after="0" w:line="240" w:lineRule="auto"/>
        <w:ind w:firstLine="0"/>
        <w:jc w:val="left"/>
        <w:rPr>
          <w:b/>
          <w:smallCaps/>
          <w:color w:val="214F75"/>
          <w:sz w:val="28"/>
          <w:szCs w:val="24"/>
        </w:rPr>
      </w:pPr>
      <w:r>
        <w:br w:type="page"/>
      </w:r>
    </w:p>
    <w:p w:rsidR="00565FAF" w:rsidRDefault="00565FAF" w:rsidP="005573B4">
      <w:pPr>
        <w:pStyle w:val="Ttulo2"/>
      </w:pPr>
      <w:bookmarkStart w:id="150" w:name="_Toc283886474"/>
      <w:r>
        <w:lastRenderedPageBreak/>
        <w:t>Costos del agua</w:t>
      </w:r>
      <w:bookmarkEnd w:id="150"/>
    </w:p>
    <w:p w:rsidR="003072E6" w:rsidRDefault="003072E6" w:rsidP="003072E6">
      <w:r>
        <w:t>En general y de acuerdo con la teoría, es necesario que un análisis de costos represente de la manera más completa, las implicaciones de la extracción en su entorno.  Es así, que por ejemplo, existen costos relativos a los usuarios del agua y otros, relativos a la sociedad en su conjunto, así como a las siguientes generaciones</w:t>
      </w:r>
      <w:r w:rsidR="00727D9A">
        <w:t xml:space="preserve"> (</w:t>
      </w:r>
      <w:r w:rsidR="00BE2961">
        <w:fldChar w:fldCharType="begin"/>
      </w:r>
      <w:r w:rsidR="00727D9A">
        <w:instrText xml:space="preserve"> REF _Ref264297226 \r \h </w:instrText>
      </w:r>
      <w:r w:rsidR="00BE2961">
        <w:fldChar w:fldCharType="separate"/>
      </w:r>
      <w:r w:rsidR="001C36B4">
        <w:t>Tabla 5.17</w:t>
      </w:r>
      <w:r w:rsidR="00BE2961">
        <w:fldChar w:fldCharType="end"/>
      </w:r>
      <w:r w:rsidR="00727D9A">
        <w:t>)</w:t>
      </w:r>
      <w:r>
        <w:t>.</w:t>
      </w:r>
    </w:p>
    <w:p w:rsidR="003072E6" w:rsidRDefault="003072E6" w:rsidP="003072E6">
      <w:pPr>
        <w:pStyle w:val="Tabla1cap5"/>
      </w:pPr>
      <w:bookmarkStart w:id="151" w:name="_Toc263349843"/>
      <w:bookmarkStart w:id="152" w:name="_Ref264297226"/>
      <w:r>
        <w:t>Clasificación de costos del agua, con cargo directo al usuario y externalizados del usuario</w:t>
      </w:r>
      <w:bookmarkEnd w:id="151"/>
      <w:bookmarkEnd w:id="152"/>
    </w:p>
    <w:tbl>
      <w:tblPr>
        <w:tblW w:w="0" w:type="auto"/>
        <w:tblBorders>
          <w:top w:val="single" w:sz="12" w:space="0" w:color="008000"/>
          <w:bottom w:val="single" w:sz="12" w:space="0" w:color="008000"/>
        </w:tblBorders>
        <w:tblLook w:val="04A0"/>
      </w:tblPr>
      <w:tblGrid>
        <w:gridCol w:w="2093"/>
        <w:gridCol w:w="3118"/>
        <w:gridCol w:w="4536"/>
      </w:tblGrid>
      <w:tr w:rsidR="003072E6" w:rsidRPr="0010530D" w:rsidTr="00B11646">
        <w:tc>
          <w:tcPr>
            <w:tcW w:w="2093" w:type="dxa"/>
            <w:tcBorders>
              <w:bottom w:val="single" w:sz="6" w:space="0" w:color="008000"/>
            </w:tcBorders>
            <w:shd w:val="clear" w:color="auto" w:fill="auto"/>
            <w:vAlign w:val="center"/>
          </w:tcPr>
          <w:p w:rsidR="003072E6" w:rsidRPr="0010530D" w:rsidRDefault="003072E6" w:rsidP="008929F8">
            <w:pPr>
              <w:ind w:firstLine="0"/>
              <w:jc w:val="center"/>
              <w:rPr>
                <w:rFonts w:eastAsia="Calibri"/>
                <w:sz w:val="20"/>
                <w:szCs w:val="22"/>
              </w:rPr>
            </w:pPr>
            <w:r w:rsidRPr="0010530D">
              <w:rPr>
                <w:rFonts w:eastAsia="Calibri"/>
                <w:sz w:val="20"/>
                <w:szCs w:val="22"/>
              </w:rPr>
              <w:t>Tipo de costo</w:t>
            </w:r>
          </w:p>
        </w:tc>
        <w:tc>
          <w:tcPr>
            <w:tcW w:w="3118" w:type="dxa"/>
            <w:tcBorders>
              <w:bottom w:val="single" w:sz="6" w:space="0" w:color="008000"/>
            </w:tcBorders>
            <w:shd w:val="clear" w:color="auto" w:fill="auto"/>
            <w:vAlign w:val="center"/>
          </w:tcPr>
          <w:p w:rsidR="003072E6" w:rsidRPr="0010530D" w:rsidRDefault="003072E6" w:rsidP="008929F8">
            <w:pPr>
              <w:ind w:firstLine="0"/>
              <w:jc w:val="center"/>
              <w:rPr>
                <w:rFonts w:eastAsia="Calibri"/>
                <w:sz w:val="20"/>
                <w:szCs w:val="22"/>
              </w:rPr>
            </w:pPr>
            <w:r w:rsidRPr="0010530D">
              <w:rPr>
                <w:rFonts w:eastAsia="Calibri"/>
                <w:sz w:val="20"/>
                <w:szCs w:val="22"/>
              </w:rPr>
              <w:t>Subsidios comunes</w:t>
            </w:r>
          </w:p>
        </w:tc>
        <w:tc>
          <w:tcPr>
            <w:tcW w:w="4536" w:type="dxa"/>
            <w:tcBorders>
              <w:bottom w:val="single" w:sz="6" w:space="0" w:color="008000"/>
            </w:tcBorders>
            <w:shd w:val="clear" w:color="auto" w:fill="auto"/>
            <w:vAlign w:val="center"/>
          </w:tcPr>
          <w:p w:rsidR="003072E6" w:rsidRPr="0010530D" w:rsidRDefault="003072E6" w:rsidP="008929F8">
            <w:pPr>
              <w:ind w:firstLine="0"/>
              <w:jc w:val="center"/>
              <w:rPr>
                <w:rFonts w:eastAsia="Calibri"/>
                <w:sz w:val="20"/>
                <w:szCs w:val="22"/>
              </w:rPr>
            </w:pPr>
            <w:r w:rsidRPr="0010530D">
              <w:rPr>
                <w:rFonts w:eastAsia="Calibri"/>
                <w:sz w:val="20"/>
                <w:szCs w:val="22"/>
              </w:rPr>
              <w:t>Otros costos normalmente externalizados</w:t>
            </w:r>
          </w:p>
        </w:tc>
      </w:tr>
      <w:tr w:rsidR="003072E6" w:rsidRPr="0010530D" w:rsidTr="00B11646">
        <w:tc>
          <w:tcPr>
            <w:tcW w:w="2093" w:type="dxa"/>
            <w:shd w:val="clear" w:color="auto" w:fill="auto"/>
            <w:vAlign w:val="center"/>
          </w:tcPr>
          <w:p w:rsidR="003072E6" w:rsidRPr="0010530D" w:rsidRDefault="003072E6" w:rsidP="00B11646">
            <w:pPr>
              <w:numPr>
                <w:ilvl w:val="0"/>
                <w:numId w:val="95"/>
              </w:numPr>
              <w:ind w:left="426"/>
              <w:jc w:val="left"/>
              <w:rPr>
                <w:rFonts w:eastAsia="Calibri"/>
                <w:sz w:val="18"/>
                <w:szCs w:val="22"/>
              </w:rPr>
            </w:pPr>
            <w:r w:rsidRPr="0010530D">
              <w:rPr>
                <w:rFonts w:eastAsia="Calibri"/>
                <w:sz w:val="18"/>
                <w:szCs w:val="22"/>
              </w:rPr>
              <w:t>Extracción</w:t>
            </w:r>
          </w:p>
          <w:p w:rsidR="003072E6" w:rsidRPr="0010530D" w:rsidRDefault="003072E6" w:rsidP="00B11646">
            <w:pPr>
              <w:numPr>
                <w:ilvl w:val="0"/>
                <w:numId w:val="95"/>
              </w:numPr>
              <w:ind w:left="426"/>
              <w:jc w:val="left"/>
              <w:rPr>
                <w:rFonts w:eastAsia="Calibri"/>
                <w:sz w:val="18"/>
                <w:szCs w:val="22"/>
              </w:rPr>
            </w:pPr>
            <w:r w:rsidRPr="0010530D">
              <w:rPr>
                <w:rFonts w:eastAsia="Calibri"/>
                <w:sz w:val="18"/>
                <w:szCs w:val="22"/>
              </w:rPr>
              <w:t>Adecuación de la calidad, -de ser necesario-.</w:t>
            </w:r>
          </w:p>
          <w:p w:rsidR="003072E6" w:rsidRPr="0010530D" w:rsidRDefault="003072E6" w:rsidP="00B11646">
            <w:pPr>
              <w:numPr>
                <w:ilvl w:val="0"/>
                <w:numId w:val="95"/>
              </w:numPr>
              <w:ind w:left="426"/>
              <w:jc w:val="left"/>
              <w:rPr>
                <w:rFonts w:eastAsia="Calibri"/>
                <w:sz w:val="18"/>
                <w:szCs w:val="22"/>
              </w:rPr>
            </w:pPr>
            <w:r w:rsidRPr="0010530D">
              <w:rPr>
                <w:rFonts w:eastAsia="Calibri"/>
                <w:sz w:val="18"/>
                <w:szCs w:val="22"/>
              </w:rPr>
              <w:t>Regulación</w:t>
            </w:r>
          </w:p>
          <w:p w:rsidR="003072E6" w:rsidRPr="0010530D" w:rsidRDefault="003072E6" w:rsidP="00B11646">
            <w:pPr>
              <w:numPr>
                <w:ilvl w:val="0"/>
                <w:numId w:val="95"/>
              </w:numPr>
              <w:ind w:left="426"/>
              <w:jc w:val="left"/>
              <w:rPr>
                <w:rFonts w:eastAsia="Calibri"/>
                <w:sz w:val="18"/>
                <w:szCs w:val="22"/>
              </w:rPr>
            </w:pPr>
            <w:r w:rsidRPr="0010530D">
              <w:rPr>
                <w:rFonts w:eastAsia="Calibri"/>
                <w:sz w:val="18"/>
                <w:szCs w:val="22"/>
              </w:rPr>
              <w:t>Distribución</w:t>
            </w:r>
          </w:p>
        </w:tc>
        <w:tc>
          <w:tcPr>
            <w:tcW w:w="3118" w:type="dxa"/>
            <w:shd w:val="clear" w:color="auto" w:fill="auto"/>
            <w:vAlign w:val="center"/>
          </w:tcPr>
          <w:p w:rsidR="003072E6" w:rsidRPr="0010530D" w:rsidRDefault="003072E6" w:rsidP="00B11646">
            <w:pPr>
              <w:numPr>
                <w:ilvl w:val="0"/>
                <w:numId w:val="95"/>
              </w:numPr>
              <w:jc w:val="left"/>
              <w:rPr>
                <w:rFonts w:eastAsia="Calibri"/>
                <w:sz w:val="18"/>
                <w:szCs w:val="22"/>
              </w:rPr>
            </w:pPr>
            <w:r w:rsidRPr="0010530D">
              <w:rPr>
                <w:rFonts w:eastAsia="Calibri"/>
                <w:sz w:val="18"/>
                <w:szCs w:val="22"/>
              </w:rPr>
              <w:t>Tarifa eléctrica</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Potabilización</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Infraestructura</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Servicios de distribución</w:t>
            </w:r>
          </w:p>
        </w:tc>
        <w:tc>
          <w:tcPr>
            <w:tcW w:w="4536" w:type="dxa"/>
            <w:shd w:val="clear" w:color="auto" w:fill="auto"/>
            <w:vAlign w:val="center"/>
          </w:tcPr>
          <w:p w:rsidR="003072E6" w:rsidRPr="0010530D" w:rsidRDefault="003072E6" w:rsidP="00B11646">
            <w:pPr>
              <w:numPr>
                <w:ilvl w:val="0"/>
                <w:numId w:val="95"/>
              </w:numPr>
              <w:jc w:val="left"/>
              <w:rPr>
                <w:rFonts w:eastAsia="Calibri"/>
                <w:sz w:val="18"/>
                <w:szCs w:val="22"/>
              </w:rPr>
            </w:pPr>
            <w:r w:rsidRPr="0010530D">
              <w:rPr>
                <w:rFonts w:eastAsia="Calibri"/>
                <w:sz w:val="18"/>
                <w:szCs w:val="22"/>
              </w:rPr>
              <w:t>Agotamiento del agua y de la energía</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Pérdida de calidad de las reservas subterráneas</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Otros efectos de la sobreexplotación</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Afectaciones ambientales y a la salud</w:t>
            </w:r>
          </w:p>
          <w:p w:rsidR="003072E6" w:rsidRPr="0010530D" w:rsidRDefault="003072E6" w:rsidP="00B11646">
            <w:pPr>
              <w:numPr>
                <w:ilvl w:val="0"/>
                <w:numId w:val="95"/>
              </w:numPr>
              <w:jc w:val="left"/>
              <w:rPr>
                <w:rFonts w:eastAsia="Calibri"/>
                <w:sz w:val="18"/>
                <w:szCs w:val="22"/>
              </w:rPr>
            </w:pPr>
            <w:r w:rsidRPr="0010530D">
              <w:rPr>
                <w:rFonts w:eastAsia="Calibri"/>
                <w:sz w:val="18"/>
                <w:szCs w:val="22"/>
              </w:rPr>
              <w:t>Costos de oportunidad en condiciones de escasez</w:t>
            </w:r>
          </w:p>
        </w:tc>
      </w:tr>
    </w:tbl>
    <w:p w:rsidR="003072E6" w:rsidRDefault="003072E6" w:rsidP="003072E6"/>
    <w:p w:rsidR="00727D9A" w:rsidRDefault="00146743" w:rsidP="00727D9A">
      <w:r>
        <w:t>E</w:t>
      </w:r>
      <w:r w:rsidR="003072E6">
        <w:t>l análisis del costo del agua debe tener presente el costo total real, que es finalmente el que refleja la situación de los usuarios, de su entorno y de las condiciones de interacción con su manej</w:t>
      </w:r>
      <w:r w:rsidR="00727D9A">
        <w:t>o integrado y sus implicaciones</w:t>
      </w:r>
      <w:r w:rsidR="003072E6">
        <w:t xml:space="preserve"> económicas, ambientales y sociales.</w:t>
      </w:r>
      <w:r w:rsidR="00727D9A">
        <w:t xml:space="preserve"> La evaluación económica determinará si el balance es o no positivo.</w:t>
      </w:r>
    </w:p>
    <w:p w:rsidR="003072E6" w:rsidRDefault="003072E6" w:rsidP="003072E6">
      <w:r>
        <w:t>El costo del agua es variable según las condiciones geográficas del aprovechamiento y de sus requerimientos por parte de</w:t>
      </w:r>
      <w:r w:rsidR="00146743">
        <w:t xml:space="preserve"> los usuarios, igualmente varía</w:t>
      </w:r>
      <w:r>
        <w:t xml:space="preserve"> para las condiciones particulares de cada pozo y las propiedades hidrogeológicas de su sitio; no obstante, a través de un análisis de costos índice, es posible estimar un costo del agua para cada sitio del acuífero.</w:t>
      </w:r>
    </w:p>
    <w:p w:rsidR="00727D9A" w:rsidRDefault="00727D9A" w:rsidP="00727D9A">
      <w:r>
        <w:t>Dentro de los análisis, los usos productivos agropecuario, industrial y servicios, son los que generan un valor económico agregado.</w:t>
      </w:r>
    </w:p>
    <w:p w:rsidR="003072E6" w:rsidRDefault="003072E6" w:rsidP="003072E6">
      <w:r>
        <w:t xml:space="preserve">La </w:t>
      </w:r>
      <w:r w:rsidR="00BE2961">
        <w:fldChar w:fldCharType="begin"/>
      </w:r>
      <w:r>
        <w:instrText xml:space="preserve"> REF _Ref245536383 \r \h </w:instrText>
      </w:r>
      <w:r w:rsidR="00BE2961">
        <w:fldChar w:fldCharType="separate"/>
      </w:r>
      <w:r w:rsidR="001C36B4">
        <w:t>Tabla 5.18</w:t>
      </w:r>
      <w:r w:rsidR="00BE2961">
        <w:fldChar w:fldCharType="end"/>
      </w:r>
      <w:r>
        <w:t xml:space="preserve">, muestra esquemáticamente los componentes del costo total del agua, que incluye sobrecostos por sobreexplotación. </w:t>
      </w:r>
    </w:p>
    <w:p w:rsidR="003C7F1A" w:rsidRDefault="003C7F1A" w:rsidP="003072E6"/>
    <w:p w:rsidR="003C7F1A" w:rsidRDefault="003C7F1A" w:rsidP="003072E6"/>
    <w:p w:rsidR="003C7F1A" w:rsidRDefault="003C7F1A" w:rsidP="003072E6"/>
    <w:p w:rsidR="003C7F1A" w:rsidRDefault="003C7F1A" w:rsidP="003072E6"/>
    <w:p w:rsidR="003C7F1A" w:rsidRDefault="003C7F1A" w:rsidP="003072E6"/>
    <w:p w:rsidR="003C7F1A" w:rsidRDefault="003C7F1A" w:rsidP="003072E6"/>
    <w:p w:rsidR="003C7F1A" w:rsidRDefault="003C7F1A" w:rsidP="003072E6"/>
    <w:p w:rsidR="003072E6" w:rsidRDefault="003072E6" w:rsidP="003072E6">
      <w:pPr>
        <w:pStyle w:val="Tabla1cap5"/>
      </w:pPr>
      <w:bookmarkStart w:id="153" w:name="_Ref245536383"/>
      <w:bookmarkStart w:id="154" w:name="_Toc263349844"/>
      <w:r>
        <w:t>Principios generales para el cálculo del costo del agua</w:t>
      </w:r>
      <w:bookmarkEnd w:id="153"/>
      <w:bookmarkEnd w:id="154"/>
    </w:p>
    <w:p w:rsidR="003072E6" w:rsidRDefault="003072E6" w:rsidP="003072E6">
      <w:r>
        <w:t xml:space="preserve"> </w:t>
      </w:r>
      <w:r w:rsidR="008011C2">
        <w:rPr>
          <w:noProof/>
          <w:lang w:eastAsia="es-MX"/>
        </w:rPr>
        <w:drawing>
          <wp:inline distT="0" distB="0" distL="0" distR="0">
            <wp:extent cx="5610225" cy="3190875"/>
            <wp:effectExtent l="19050" t="0" r="9525" b="0"/>
            <wp:docPr id="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8" cstate="print"/>
                    <a:srcRect/>
                    <a:stretch>
                      <a:fillRect/>
                    </a:stretch>
                  </pic:blipFill>
                  <pic:spPr bwMode="auto">
                    <a:xfrm>
                      <a:off x="0" y="0"/>
                      <a:ext cx="5610225" cy="3190875"/>
                    </a:xfrm>
                    <a:prstGeom prst="rect">
                      <a:avLst/>
                    </a:prstGeom>
                    <a:noFill/>
                    <a:ln w="9525">
                      <a:noFill/>
                      <a:miter lim="800000"/>
                      <a:headEnd/>
                      <a:tailEnd/>
                    </a:ln>
                  </pic:spPr>
                </pic:pic>
              </a:graphicData>
            </a:graphic>
          </wp:inline>
        </w:drawing>
      </w:r>
    </w:p>
    <w:p w:rsidR="003072E6" w:rsidRDefault="003072E6" w:rsidP="003072E6">
      <w:r>
        <w:t>La suma de los conceptos proporciona un estimado del costo del agua por metro cúbico.</w:t>
      </w:r>
    </w:p>
    <w:p w:rsidR="003072E6" w:rsidRPr="00EF20EA" w:rsidRDefault="003072E6" w:rsidP="008011C2">
      <w:pPr>
        <w:jc w:val="center"/>
        <w:outlineLvl w:val="0"/>
        <w:rPr>
          <w:b/>
        </w:rPr>
      </w:pPr>
      <w:r w:rsidRPr="00EF20EA">
        <w:rPr>
          <w:b/>
        </w:rPr>
        <w:t>Costo Total = Costo de extracción + Costo de Sobreexplotación</w:t>
      </w:r>
    </w:p>
    <w:p w:rsidR="003072E6" w:rsidRPr="007A1F45" w:rsidRDefault="003072E6" w:rsidP="003072E6">
      <w:r>
        <w:t>Dónde: Costo de Sobreexplotación = Sobrecostos de extracción +  Costo de Oportunidad + Costo de Agrietamiento + Costos Intangibles</w:t>
      </w:r>
    </w:p>
    <w:p w:rsidR="00546304" w:rsidRDefault="00727D9A" w:rsidP="00546304">
      <w:r>
        <w:t xml:space="preserve">Para que exista un equilibrio económico, el valor del agua –estimado a partir del Valor para cada uso-, debería coincidir con el costo total del agua. De este modo, el modelo económico clásico indica que el subsidio social se maximiza. Para casos prácticos, sin embargo, el Valor en el Uso es por lo común de una magnitud </w:t>
      </w:r>
      <w:r w:rsidR="00546304">
        <w:t>mayor al costo total estimado, e</w:t>
      </w:r>
      <w:r>
        <w:t xml:space="preserve">sto ocurre con frecuencia, </w:t>
      </w:r>
      <w:r w:rsidR="00546304">
        <w:t>por</w:t>
      </w:r>
      <w:r>
        <w:t xml:space="preserve"> las dificultades para estimar las externalidades ambientales y los otros componentes del costo total del agua.  </w:t>
      </w:r>
      <w:r w:rsidR="00546304">
        <w:t>En muchos casos el valor que se confiere al agua resulta menor que el costo económico total, e inclusive, inferior al costo total de abastecimiento. Esto suele ocurrir porque los objetivos sociales y políticos transgreden y exceden el equilibrio económico.</w:t>
      </w:r>
    </w:p>
    <w:p w:rsidR="00546304" w:rsidRDefault="00546304" w:rsidP="00546304">
      <w:r>
        <w:t>Para el Acuífero de Libres – Oriental, el costo real de la energía eléctrica requerida para aprovechar un metro cúbico, es de $0.26 $/m³, sin embargo, los incentivos fiscales sobre la tarifa eléctrica, hacen de este monto una cantidad menor, próxima a $0.06 $/m³.  De allí, se deduce que existe un $0.20 $/m³ de sobrecosto real del agua, es decir, un subsidio de dicho monto por cada metro cúbico que se extrae en la actividad agrícola.</w:t>
      </w:r>
    </w:p>
    <w:p w:rsidR="001D49F0" w:rsidRDefault="001D49F0" w:rsidP="00546304"/>
    <w:p w:rsidR="00146743" w:rsidRDefault="00146743" w:rsidP="00A50839">
      <w:pPr>
        <w:pStyle w:val="Tabla1cap5"/>
      </w:pPr>
      <w:bookmarkStart w:id="155" w:name="_Toc263349845"/>
      <w:r>
        <w:lastRenderedPageBreak/>
        <w:t>Productividad del agua real y aparente en el acuífero Libres – Oriental y productividad acumulada real</w:t>
      </w:r>
      <w:bookmarkEnd w:id="155"/>
    </w:p>
    <w:tbl>
      <w:tblPr>
        <w:tblW w:w="5000" w:type="pct"/>
        <w:tblBorders>
          <w:top w:val="single" w:sz="12" w:space="0" w:color="008000"/>
          <w:bottom w:val="single" w:sz="12" w:space="0" w:color="008000"/>
        </w:tblBorders>
        <w:tblLook w:val="04A0"/>
      </w:tblPr>
      <w:tblGrid>
        <w:gridCol w:w="1415"/>
        <w:gridCol w:w="1415"/>
        <w:gridCol w:w="1415"/>
        <w:gridCol w:w="1415"/>
        <w:gridCol w:w="1415"/>
        <w:gridCol w:w="1415"/>
        <w:gridCol w:w="1414"/>
      </w:tblGrid>
      <w:tr w:rsidR="00146743" w:rsidRPr="0006559E" w:rsidTr="008929F8">
        <w:trPr>
          <w:trHeight w:val="300"/>
        </w:trPr>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Cultivo</w:t>
            </w:r>
          </w:p>
        </w:tc>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Vol. </w:t>
            </w:r>
            <w:proofErr w:type="spellStart"/>
            <w:r w:rsidRPr="0006559E">
              <w:rPr>
                <w:rFonts w:ascii="Calibri" w:eastAsia="Times New Roman" w:hAnsi="Calibri" w:cs="Times New Roman"/>
                <w:sz w:val="20"/>
                <w:lang w:eastAsia="es-MX"/>
              </w:rPr>
              <w:t>Acum</w:t>
            </w:r>
            <w:proofErr w:type="spellEnd"/>
          </w:p>
        </w:tc>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proofErr w:type="spellStart"/>
            <w:r w:rsidRPr="0006559E">
              <w:rPr>
                <w:rFonts w:ascii="Calibri" w:eastAsia="Times New Roman" w:hAnsi="Calibri" w:cs="Times New Roman"/>
                <w:sz w:val="20"/>
                <w:lang w:eastAsia="es-MX"/>
              </w:rPr>
              <w:t>Util</w:t>
            </w:r>
            <w:proofErr w:type="spellEnd"/>
            <w:r w:rsidRPr="0006559E">
              <w:rPr>
                <w:rFonts w:ascii="Calibri" w:eastAsia="Times New Roman" w:hAnsi="Calibri" w:cs="Times New Roman"/>
                <w:sz w:val="20"/>
                <w:lang w:eastAsia="es-MX"/>
              </w:rPr>
              <w:t xml:space="preserve">. </w:t>
            </w:r>
            <w:proofErr w:type="spellStart"/>
            <w:r w:rsidRPr="0006559E">
              <w:rPr>
                <w:rFonts w:ascii="Calibri" w:eastAsia="Times New Roman" w:hAnsi="Calibri" w:cs="Times New Roman"/>
                <w:sz w:val="20"/>
                <w:lang w:eastAsia="es-MX"/>
              </w:rPr>
              <w:t>Acum</w:t>
            </w:r>
            <w:proofErr w:type="spellEnd"/>
            <w:r w:rsidRPr="0006559E">
              <w:rPr>
                <w:rFonts w:ascii="Calibri" w:eastAsia="Times New Roman" w:hAnsi="Calibri" w:cs="Times New Roman"/>
                <w:sz w:val="20"/>
                <w:lang w:eastAsia="es-MX"/>
              </w:rPr>
              <w:t>.</w:t>
            </w:r>
          </w:p>
        </w:tc>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proofErr w:type="spellStart"/>
            <w:r w:rsidRPr="0006559E">
              <w:rPr>
                <w:rFonts w:ascii="Calibri" w:eastAsia="Times New Roman" w:hAnsi="Calibri" w:cs="Times New Roman"/>
                <w:sz w:val="20"/>
                <w:lang w:eastAsia="es-MX"/>
              </w:rPr>
              <w:t>Prod</w:t>
            </w:r>
            <w:proofErr w:type="spellEnd"/>
            <w:r w:rsidRPr="0006559E">
              <w:rPr>
                <w:rFonts w:ascii="Calibri" w:eastAsia="Times New Roman" w:hAnsi="Calibri" w:cs="Times New Roman"/>
                <w:sz w:val="20"/>
                <w:lang w:eastAsia="es-MX"/>
              </w:rPr>
              <w:t xml:space="preserve">. </w:t>
            </w:r>
            <w:proofErr w:type="spellStart"/>
            <w:r w:rsidRPr="0006559E">
              <w:rPr>
                <w:rFonts w:ascii="Calibri" w:eastAsia="Times New Roman" w:hAnsi="Calibri" w:cs="Times New Roman"/>
                <w:sz w:val="20"/>
                <w:lang w:eastAsia="es-MX"/>
              </w:rPr>
              <w:t>Acum</w:t>
            </w:r>
            <w:proofErr w:type="spellEnd"/>
          </w:p>
        </w:tc>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proofErr w:type="spellStart"/>
            <w:r w:rsidRPr="0006559E">
              <w:rPr>
                <w:rFonts w:ascii="Calibri" w:eastAsia="Times New Roman" w:hAnsi="Calibri" w:cs="Times New Roman"/>
                <w:sz w:val="20"/>
                <w:lang w:eastAsia="es-MX"/>
              </w:rPr>
              <w:t>Prod</w:t>
            </w:r>
            <w:proofErr w:type="spellEnd"/>
            <w:r w:rsidRPr="0006559E">
              <w:rPr>
                <w:rFonts w:ascii="Calibri" w:eastAsia="Times New Roman" w:hAnsi="Calibri" w:cs="Times New Roman"/>
                <w:sz w:val="20"/>
                <w:lang w:eastAsia="es-MX"/>
              </w:rPr>
              <w:t xml:space="preserve"> Agua</w:t>
            </w:r>
          </w:p>
        </w:tc>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Utilidad</w:t>
            </w:r>
          </w:p>
        </w:tc>
        <w:tc>
          <w:tcPr>
            <w:tcW w:w="714" w:type="pct"/>
            <w:tcBorders>
              <w:top w:val="single" w:sz="12" w:space="0" w:color="008000"/>
              <w:bottom w:val="nil"/>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proofErr w:type="spellStart"/>
            <w:r w:rsidRPr="0006559E">
              <w:rPr>
                <w:rFonts w:ascii="Calibri" w:eastAsia="Times New Roman" w:hAnsi="Calibri" w:cs="Times New Roman"/>
                <w:sz w:val="20"/>
                <w:lang w:eastAsia="es-MX"/>
              </w:rPr>
              <w:t>Prod</w:t>
            </w:r>
            <w:proofErr w:type="spellEnd"/>
            <w:r w:rsidRPr="0006559E">
              <w:rPr>
                <w:rFonts w:ascii="Calibri" w:eastAsia="Times New Roman" w:hAnsi="Calibri" w:cs="Times New Roman"/>
                <w:sz w:val="20"/>
                <w:lang w:eastAsia="es-MX"/>
              </w:rPr>
              <w:t xml:space="preserve"> </w:t>
            </w:r>
            <w:proofErr w:type="spellStart"/>
            <w:r w:rsidRPr="0006559E">
              <w:rPr>
                <w:rFonts w:ascii="Calibri" w:eastAsia="Times New Roman" w:hAnsi="Calibri" w:cs="Times New Roman"/>
                <w:sz w:val="20"/>
                <w:lang w:eastAsia="es-MX"/>
              </w:rPr>
              <w:t>Acum</w:t>
            </w:r>
            <w:proofErr w:type="spellEnd"/>
          </w:p>
        </w:tc>
      </w:tr>
      <w:tr w:rsidR="00146743" w:rsidRPr="0006559E" w:rsidTr="008929F8">
        <w:trPr>
          <w:trHeight w:val="315"/>
        </w:trPr>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w:t>
            </w:r>
          </w:p>
        </w:tc>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(hm³)</w:t>
            </w:r>
          </w:p>
        </w:tc>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(MDP)</w:t>
            </w:r>
          </w:p>
        </w:tc>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($/m³)</w:t>
            </w:r>
          </w:p>
        </w:tc>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real $/m³</w:t>
            </w:r>
          </w:p>
        </w:tc>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proofErr w:type="spellStart"/>
            <w:r w:rsidRPr="0006559E">
              <w:rPr>
                <w:rFonts w:ascii="Calibri" w:eastAsia="Times New Roman" w:hAnsi="Calibri" w:cs="Times New Roman"/>
                <w:sz w:val="20"/>
                <w:lang w:eastAsia="es-MX"/>
              </w:rPr>
              <w:t>Acum</w:t>
            </w:r>
            <w:proofErr w:type="spellEnd"/>
            <w:r w:rsidRPr="0006559E">
              <w:rPr>
                <w:rFonts w:ascii="Calibri" w:eastAsia="Times New Roman" w:hAnsi="Calibri" w:cs="Times New Roman"/>
                <w:sz w:val="20"/>
                <w:lang w:eastAsia="es-MX"/>
              </w:rPr>
              <w:t xml:space="preserve"> $</w:t>
            </w:r>
          </w:p>
        </w:tc>
        <w:tc>
          <w:tcPr>
            <w:tcW w:w="714" w:type="pct"/>
            <w:tcBorders>
              <w:top w:val="nil"/>
              <w:bottom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$/m³</w:t>
            </w:r>
          </w:p>
        </w:tc>
      </w:tr>
      <w:tr w:rsidR="00146743" w:rsidRPr="0006559E" w:rsidTr="008929F8">
        <w:trPr>
          <w:trHeight w:val="315"/>
        </w:trPr>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Tomate </w:t>
            </w:r>
            <w:proofErr w:type="spellStart"/>
            <w:r w:rsidRPr="0006559E">
              <w:rPr>
                <w:rFonts w:ascii="Calibri" w:eastAsia="Times New Roman" w:hAnsi="Calibri" w:cs="Times New Roman"/>
                <w:sz w:val="20"/>
                <w:lang w:eastAsia="es-MX"/>
              </w:rPr>
              <w:t>cás</w:t>
            </w:r>
            <w:proofErr w:type="spellEnd"/>
          </w:p>
        </w:tc>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3.2 </w:t>
            </w:r>
          </w:p>
        </w:tc>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28.1 </w:t>
            </w:r>
          </w:p>
        </w:tc>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8.89 </w:t>
            </w:r>
          </w:p>
        </w:tc>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8.69 </w:t>
            </w:r>
          </w:p>
        </w:tc>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27.45 </w:t>
            </w:r>
          </w:p>
        </w:tc>
        <w:tc>
          <w:tcPr>
            <w:tcW w:w="714" w:type="pct"/>
            <w:tcBorders>
              <w:top w:val="single" w:sz="4" w:space="0" w:color="00B050"/>
            </w:tcBorders>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8.69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Calabaza</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10.8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91.9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8.51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8.15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89.72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8.31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Cilantro</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11.8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97.7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8.30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5.77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95.33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8.10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Zanahoria</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20.3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141.9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7.01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5.01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137.81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6.81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Col</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23.2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154.7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6.67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4.14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150.02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6.47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Papa</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27.9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168.7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6.04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2.77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163.12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5.84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Haba grano</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36.4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183.3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5.04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1.54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176.07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4.84 </w:t>
            </w:r>
          </w:p>
        </w:tc>
      </w:tr>
      <w:tr w:rsidR="00146743" w:rsidRPr="0006559E" w:rsidTr="008929F8">
        <w:trPr>
          <w:trHeight w:val="315"/>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Frijol</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48.8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193.7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3.97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0.63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183.93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3.77 </w:t>
            </w:r>
          </w:p>
        </w:tc>
      </w:tr>
      <w:tr w:rsidR="00146743" w:rsidRPr="0006559E" w:rsidTr="008929F8">
        <w:trPr>
          <w:trHeight w:val="315"/>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Maíz</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110.0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216.1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1.96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0.17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194.09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1.76 </w:t>
            </w:r>
          </w:p>
        </w:tc>
      </w:tr>
      <w:tr w:rsidR="00146743" w:rsidRPr="0006559E" w:rsidTr="008929F8">
        <w:trPr>
          <w:trHeight w:val="300"/>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Alfalfa</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200.2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239.5 </w:t>
            </w:r>
          </w:p>
        </w:tc>
        <w:tc>
          <w:tcPr>
            <w:tcW w:w="714" w:type="pct"/>
            <w:shd w:val="clear" w:color="auto" w:fill="auto"/>
            <w:noWrap/>
            <w:hideMark/>
          </w:tcPr>
          <w:p w:rsidR="00146743" w:rsidRPr="0006559E" w:rsidRDefault="00146743" w:rsidP="008929F8">
            <w:pPr>
              <w:spacing w:before="0" w:after="0" w:line="240" w:lineRule="auto"/>
              <w:ind w:firstLine="0"/>
              <w:jc w:val="center"/>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1.20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0.06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199.45 </w:t>
            </w: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r w:rsidRPr="0006559E">
              <w:rPr>
                <w:rFonts w:ascii="Calibri" w:eastAsia="Times New Roman" w:hAnsi="Calibri" w:cs="Times New Roman"/>
                <w:sz w:val="20"/>
                <w:lang w:eastAsia="es-MX"/>
              </w:rPr>
              <w:t xml:space="preserve"> $            1.00 </w:t>
            </w:r>
          </w:p>
        </w:tc>
      </w:tr>
      <w:tr w:rsidR="00146743" w:rsidRPr="0006559E" w:rsidTr="008929F8">
        <w:trPr>
          <w:trHeight w:val="315"/>
        </w:trPr>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c>
          <w:tcPr>
            <w:tcW w:w="714" w:type="pct"/>
            <w:shd w:val="clear" w:color="auto" w:fill="auto"/>
            <w:noWrap/>
            <w:hideMark/>
          </w:tcPr>
          <w:p w:rsidR="00146743" w:rsidRPr="0006559E" w:rsidRDefault="00146743" w:rsidP="008929F8">
            <w:pPr>
              <w:spacing w:before="0" w:after="0" w:line="240" w:lineRule="auto"/>
              <w:ind w:firstLine="0"/>
              <w:jc w:val="left"/>
              <w:rPr>
                <w:rFonts w:ascii="Calibri" w:eastAsia="Times New Roman" w:hAnsi="Calibri" w:cs="Times New Roman"/>
                <w:sz w:val="20"/>
                <w:lang w:eastAsia="es-MX"/>
              </w:rPr>
            </w:pPr>
          </w:p>
        </w:tc>
      </w:tr>
    </w:tbl>
    <w:p w:rsidR="00146743" w:rsidRDefault="00146743" w:rsidP="00146743">
      <w:pPr>
        <w:ind w:firstLine="0"/>
      </w:pPr>
    </w:p>
    <w:p w:rsidR="00146743" w:rsidRDefault="00146743" w:rsidP="00A50839">
      <w:pPr>
        <w:pStyle w:val="Grafica1cap5"/>
      </w:pPr>
      <w:bookmarkStart w:id="156" w:name="_Toc263349800"/>
      <w:r>
        <w:t>Comparativo de utilidad acumulada de sector agrícola dada la productividad del agua en el año 2009, al considerar por una parte el subsidio a la tarifa eléctrica y en otro, sin subsidio</w:t>
      </w:r>
      <w:bookmarkEnd w:id="156"/>
    </w:p>
    <w:p w:rsidR="00146743" w:rsidRDefault="008011C2" w:rsidP="00146743">
      <w:pPr>
        <w:ind w:firstLine="0"/>
        <w:jc w:val="center"/>
      </w:pPr>
      <w:r>
        <w:rPr>
          <w:noProof/>
          <w:lang w:eastAsia="es-MX"/>
        </w:rPr>
        <w:drawing>
          <wp:inline distT="0" distB="0" distL="0" distR="0">
            <wp:extent cx="4237355" cy="2798445"/>
            <wp:effectExtent l="19050" t="0" r="0" b="0"/>
            <wp:docPr id="8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srcRect/>
                    <a:stretch>
                      <a:fillRect/>
                    </a:stretch>
                  </pic:blipFill>
                  <pic:spPr bwMode="auto">
                    <a:xfrm>
                      <a:off x="0" y="0"/>
                      <a:ext cx="4237355" cy="2798445"/>
                    </a:xfrm>
                    <a:prstGeom prst="rect">
                      <a:avLst/>
                    </a:prstGeom>
                    <a:noFill/>
                  </pic:spPr>
                </pic:pic>
              </a:graphicData>
            </a:graphic>
          </wp:inline>
        </w:drawing>
      </w:r>
    </w:p>
    <w:p w:rsidR="00146743" w:rsidRDefault="00146743" w:rsidP="00146743">
      <w:pPr>
        <w:ind w:firstLine="0"/>
        <w:jc w:val="center"/>
      </w:pPr>
    </w:p>
    <w:p w:rsidR="00146743" w:rsidRDefault="00146743" w:rsidP="00146743">
      <w:pPr>
        <w:ind w:firstLine="0"/>
        <w:jc w:val="center"/>
      </w:pPr>
    </w:p>
    <w:p w:rsidR="00146743" w:rsidRDefault="00146743" w:rsidP="00146743">
      <w:pPr>
        <w:ind w:firstLine="0"/>
        <w:jc w:val="center"/>
      </w:pPr>
    </w:p>
    <w:p w:rsidR="00146743" w:rsidRDefault="00146743" w:rsidP="00146743">
      <w:pPr>
        <w:ind w:firstLine="0"/>
        <w:jc w:val="center"/>
      </w:pPr>
    </w:p>
    <w:p w:rsidR="00146743" w:rsidRDefault="00146743" w:rsidP="00A50839">
      <w:pPr>
        <w:pStyle w:val="Grafica1cap5"/>
      </w:pPr>
      <w:bookmarkStart w:id="157" w:name="_Toc263349801"/>
      <w:r>
        <w:lastRenderedPageBreak/>
        <w:t>Utilidad real acumulada para el acuífero de Libres Oriental, sin incentivo fiscal, para un rango de aprovechamiento agrícola superior a los 164 hm³, que causan sobreexplotación</w:t>
      </w:r>
      <w:bookmarkEnd w:id="157"/>
    </w:p>
    <w:p w:rsidR="00146743" w:rsidRDefault="008011C2" w:rsidP="00146743">
      <w:pPr>
        <w:ind w:firstLine="0"/>
        <w:jc w:val="center"/>
      </w:pPr>
      <w:r>
        <w:rPr>
          <w:noProof/>
          <w:lang w:eastAsia="es-MX"/>
        </w:rPr>
        <w:drawing>
          <wp:inline distT="0" distB="0" distL="0" distR="0">
            <wp:extent cx="3733800" cy="2457450"/>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cstate="print"/>
                    <a:srcRect/>
                    <a:stretch>
                      <a:fillRect/>
                    </a:stretch>
                  </pic:blipFill>
                  <pic:spPr bwMode="auto">
                    <a:xfrm>
                      <a:off x="0" y="0"/>
                      <a:ext cx="3733800" cy="2457450"/>
                    </a:xfrm>
                    <a:prstGeom prst="rect">
                      <a:avLst/>
                    </a:prstGeom>
                    <a:noFill/>
                    <a:ln w="9525">
                      <a:noFill/>
                      <a:miter lim="800000"/>
                      <a:headEnd/>
                      <a:tailEnd/>
                    </a:ln>
                  </pic:spPr>
                </pic:pic>
              </a:graphicData>
            </a:graphic>
          </wp:inline>
        </w:drawing>
      </w:r>
    </w:p>
    <w:p w:rsidR="00146743" w:rsidRDefault="00146743" w:rsidP="00146743">
      <w:r>
        <w:t>De la curva de beneficio neto acumulado sin subsidio a la tarifa eléctrica, se visualiza que el beneficio neto anual en el acuífero de Libres Oriental, es de un orden de 1.8 MDP, lo que equivale a $0.05 / m³.  En el siguiente gráfico se visualiza que dado el subsidio a la tarifa eléctrica, el beneficio neto anual aparente se incrementa hasta 8 MDP, con un productividad por metro cúbico sobreexplotado, de $0.20 / m³.</w:t>
      </w:r>
    </w:p>
    <w:p w:rsidR="00146743" w:rsidRDefault="00146743" w:rsidP="00A50839">
      <w:pPr>
        <w:pStyle w:val="Grafica1cap5"/>
      </w:pPr>
      <w:bookmarkStart w:id="158" w:name="_Toc263349802"/>
      <w:r>
        <w:t>Utilidad aparente acumulada para el acuífero de Libres Oriental, sin incentivo fiscal, para un rango de aprovechamiento agrícola superior a los 164 hm³, que causan sobreexplotación</w:t>
      </w:r>
      <w:bookmarkEnd w:id="158"/>
    </w:p>
    <w:p w:rsidR="00146743" w:rsidRDefault="008011C2" w:rsidP="00146743">
      <w:pPr>
        <w:ind w:firstLine="0"/>
        <w:jc w:val="center"/>
      </w:pPr>
      <w:r>
        <w:rPr>
          <w:noProof/>
          <w:lang w:eastAsia="es-MX"/>
        </w:rPr>
        <w:drawing>
          <wp:inline distT="0" distB="0" distL="0" distR="0">
            <wp:extent cx="3810000" cy="2505075"/>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srcRect/>
                    <a:stretch>
                      <a:fillRect/>
                    </a:stretch>
                  </pic:blipFill>
                  <pic:spPr bwMode="auto">
                    <a:xfrm>
                      <a:off x="0" y="0"/>
                      <a:ext cx="3810000" cy="2505075"/>
                    </a:xfrm>
                    <a:prstGeom prst="rect">
                      <a:avLst/>
                    </a:prstGeom>
                    <a:noFill/>
                    <a:ln w="9525">
                      <a:noFill/>
                      <a:miter lim="800000"/>
                      <a:headEnd/>
                      <a:tailEnd/>
                    </a:ln>
                  </pic:spPr>
                </pic:pic>
              </a:graphicData>
            </a:graphic>
          </wp:inline>
        </w:drawing>
      </w:r>
    </w:p>
    <w:p w:rsidR="00146743" w:rsidRDefault="00146743" w:rsidP="00146743">
      <w:r>
        <w:t xml:space="preserve">Dada la curva actual de productividad del agua, el beneficio neto de la sobreexplotación histórica para el acuífero de Libres – Oriental, resulta de 92 MDP a pesos de 2009, a este beneficio se le descuenta el subsidio, de manera que resulta menor al beneficio aparente, que resulta de 377 MDP.  Esto, como beneficio neto de la sobreexplotación.  Complementariamente, el beneficio </w:t>
      </w:r>
      <w:r>
        <w:lastRenderedPageBreak/>
        <w:t xml:space="preserve">neto total real por año, es de un orden de </w:t>
      </w:r>
      <w:r w:rsidRPr="00F70270">
        <w:rPr>
          <w:b/>
        </w:rPr>
        <w:t>199</w:t>
      </w:r>
      <w:r>
        <w:t xml:space="preserve"> MDP, mientras que los subsidios lo tornan un beneficio aparente de </w:t>
      </w:r>
      <w:r w:rsidRPr="00F70270">
        <w:rPr>
          <w:b/>
        </w:rPr>
        <w:t>239</w:t>
      </w:r>
      <w:r>
        <w:t xml:space="preserve"> MDP.</w:t>
      </w:r>
    </w:p>
    <w:p w:rsidR="00146743" w:rsidRDefault="00146743" w:rsidP="00146743">
      <w:r>
        <w:t>Para el Acuífero de Huamantla, el costo real de la energía eléctrica requerida para aprovechar un metro cúbico, es de $0.22 $/m³, sin embargo, los incentivos fiscales sobre la tarifa eléctrica, hacen de este monto una cantidad menor, próxima a $0.05 $/m³.  De allí, se deduce que existe un $0.17 $/m³ de sobrecosto real del agua, es decir, un subsidio de dicho monto por cada metro cúbico que se extrae en la actividad agrícola.</w:t>
      </w:r>
    </w:p>
    <w:p w:rsidR="00146743" w:rsidRDefault="00146743" w:rsidP="00A50839">
      <w:pPr>
        <w:pStyle w:val="Grafica1cap5"/>
      </w:pPr>
      <w:bookmarkStart w:id="159" w:name="_Toc263349846"/>
      <w:r>
        <w:t>Productividad del agua real y aparente en el acuífero Huamantla y productividad acumulada real</w:t>
      </w:r>
      <w:bookmarkEnd w:id="159"/>
    </w:p>
    <w:p w:rsidR="00146743" w:rsidRDefault="008011C2" w:rsidP="00146743">
      <w:pPr>
        <w:ind w:firstLine="0"/>
        <w:jc w:val="center"/>
      </w:pPr>
      <w:r>
        <w:rPr>
          <w:noProof/>
          <w:lang w:eastAsia="es-MX"/>
        </w:rPr>
        <w:drawing>
          <wp:inline distT="0" distB="0" distL="0" distR="0">
            <wp:extent cx="3810000" cy="2514600"/>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2" cstate="print"/>
                    <a:srcRect/>
                    <a:stretch>
                      <a:fillRect/>
                    </a:stretch>
                  </pic:blipFill>
                  <pic:spPr bwMode="auto">
                    <a:xfrm>
                      <a:off x="0" y="0"/>
                      <a:ext cx="3810000" cy="2514600"/>
                    </a:xfrm>
                    <a:prstGeom prst="rect">
                      <a:avLst/>
                    </a:prstGeom>
                    <a:noFill/>
                    <a:ln w="9525">
                      <a:noFill/>
                      <a:miter lim="800000"/>
                      <a:headEnd/>
                      <a:tailEnd/>
                    </a:ln>
                  </pic:spPr>
                </pic:pic>
              </a:graphicData>
            </a:graphic>
          </wp:inline>
        </w:drawing>
      </w:r>
    </w:p>
    <w:p w:rsidR="00146743" w:rsidRDefault="00146743" w:rsidP="00A50839">
      <w:pPr>
        <w:pStyle w:val="Grafica1cap5"/>
      </w:pPr>
      <w:bookmarkStart w:id="160" w:name="_Toc263349803"/>
      <w:r>
        <w:t>Utilidad real acumulada para el acuífero de Huamantla, sin incentivo fiscal, para un rango de aprovechamiento agrícola superior a los 54 hm³, que causan sobreexplotación</w:t>
      </w:r>
      <w:bookmarkEnd w:id="160"/>
    </w:p>
    <w:p w:rsidR="00146743" w:rsidRDefault="008011C2" w:rsidP="00146743">
      <w:pPr>
        <w:ind w:firstLine="0"/>
        <w:jc w:val="center"/>
      </w:pPr>
      <w:r>
        <w:rPr>
          <w:noProof/>
          <w:lang w:eastAsia="es-MX"/>
        </w:rPr>
        <w:drawing>
          <wp:inline distT="0" distB="0" distL="0" distR="0">
            <wp:extent cx="3895725" cy="2571750"/>
            <wp:effectExtent l="1905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3" cstate="print"/>
                    <a:srcRect/>
                    <a:stretch>
                      <a:fillRect/>
                    </a:stretch>
                  </pic:blipFill>
                  <pic:spPr bwMode="auto">
                    <a:xfrm>
                      <a:off x="0" y="0"/>
                      <a:ext cx="3895725" cy="2571750"/>
                    </a:xfrm>
                    <a:prstGeom prst="rect">
                      <a:avLst/>
                    </a:prstGeom>
                    <a:noFill/>
                    <a:ln w="9525">
                      <a:noFill/>
                      <a:miter lim="800000"/>
                      <a:headEnd/>
                      <a:tailEnd/>
                    </a:ln>
                  </pic:spPr>
                </pic:pic>
              </a:graphicData>
            </a:graphic>
          </wp:inline>
        </w:drawing>
      </w:r>
    </w:p>
    <w:p w:rsidR="00146743" w:rsidRDefault="00146743" w:rsidP="00146743">
      <w:r>
        <w:lastRenderedPageBreak/>
        <w:t>De la curva de beneficio neto acumulado sin subsidio a la tarifa eléctrica, se visualiza que el beneficio neto anual en el acuífero de Huamantla, es negativo, de -5 MDP, lo que equivale a -0.142 $/m³.  En el siguiente gráfico se visualiza que dado el subsidio a la tarifa eléctrica, el beneficio neto anual aparente se incrementa hasta -1 MDP, continua negativo, con un productividad por metro cúbico sobreexplotado, de -$0.03 / m³.  Esto explica la progresiva reducción de la superficie de riego en los últimos años.  El beneficio neto real de la sobreexplotación histórica ante estos antecedentes, resulta de u</w:t>
      </w:r>
      <w:r w:rsidR="00712F42">
        <w:t>n valor negativo de -62.338 MDP</w:t>
      </w:r>
      <w:r>
        <w:t>, con un valor aparente de -13.17 MDP aparentes.</w:t>
      </w:r>
    </w:p>
    <w:p w:rsidR="00146743" w:rsidRDefault="00146743" w:rsidP="00A50839">
      <w:pPr>
        <w:pStyle w:val="Grafica1cap5"/>
      </w:pPr>
      <w:bookmarkStart w:id="161" w:name="_Toc263349804"/>
      <w:r>
        <w:t>Utilidad aparente acumulada para el acuífero de Huamantla, sin incentivo fiscal, para un rango de aprovechamiento agrícola superior a los 54 hm³, que causan sobreexplotación</w:t>
      </w:r>
      <w:bookmarkEnd w:id="161"/>
    </w:p>
    <w:p w:rsidR="00146743" w:rsidRDefault="008011C2" w:rsidP="00146743">
      <w:pPr>
        <w:ind w:firstLine="0"/>
        <w:jc w:val="center"/>
      </w:pPr>
      <w:r>
        <w:rPr>
          <w:noProof/>
          <w:lang w:eastAsia="es-MX"/>
        </w:rPr>
        <w:drawing>
          <wp:inline distT="0" distB="0" distL="0" distR="0">
            <wp:extent cx="4219575" cy="2781300"/>
            <wp:effectExtent l="1905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cstate="print"/>
                    <a:srcRect/>
                    <a:stretch>
                      <a:fillRect/>
                    </a:stretch>
                  </pic:blipFill>
                  <pic:spPr bwMode="auto">
                    <a:xfrm>
                      <a:off x="0" y="0"/>
                      <a:ext cx="4219575" cy="2781300"/>
                    </a:xfrm>
                    <a:prstGeom prst="rect">
                      <a:avLst/>
                    </a:prstGeom>
                    <a:noFill/>
                    <a:ln w="9525">
                      <a:noFill/>
                      <a:miter lim="800000"/>
                      <a:headEnd/>
                      <a:tailEnd/>
                    </a:ln>
                  </pic:spPr>
                </pic:pic>
              </a:graphicData>
            </a:graphic>
          </wp:inline>
        </w:drawing>
      </w:r>
    </w:p>
    <w:p w:rsidR="00146743" w:rsidRDefault="00146743" w:rsidP="00146743">
      <w:r>
        <w:t>La suma estimada de los beneficios por la sobreexplotación histórica, resulta de 29 MDP en su valor real, y de 364 MDP en su valor aparente, esto para un volumen total drenado de 2325 hm³.</w:t>
      </w:r>
    </w:p>
    <w:p w:rsidR="00146743" w:rsidRPr="00EF20EA" w:rsidRDefault="00146743" w:rsidP="008011C2">
      <w:pPr>
        <w:outlineLvl w:val="0"/>
        <w:rPr>
          <w:i/>
          <w:u w:val="single"/>
        </w:rPr>
      </w:pPr>
      <w:r w:rsidRPr="00EF20EA">
        <w:rPr>
          <w:i/>
          <w:u w:val="single"/>
        </w:rPr>
        <w:t>Beneficios de retornos de agua</w:t>
      </w:r>
    </w:p>
    <w:p w:rsidR="00146743" w:rsidRDefault="00146743" w:rsidP="00146743">
      <w:r>
        <w:t xml:space="preserve">Los retornos del agua hacia el acuífero como son la </w:t>
      </w:r>
      <w:proofErr w:type="gramStart"/>
      <w:r>
        <w:t>recarga</w:t>
      </w:r>
      <w:proofErr w:type="gramEnd"/>
      <w:r>
        <w:t xml:space="preserve"> derivada de las fugas en redes e infiltración en canales, representan un componente de importancia en los sistemas hidrológicos, de modo que los efectos de estos flujos deben considerarse cuando se estima el valor y el costo del agua. Por ejemplo, parte del agua destinada a irrigación puede recargar el acuífero regional e incrementar el gasto base de corrientes aguas abajo. Sin embargo, los beneficios del retorno de flujos dependen </w:t>
      </w:r>
      <w:proofErr w:type="spellStart"/>
      <w:r>
        <w:t>determinantemente</w:t>
      </w:r>
      <w:proofErr w:type="spellEnd"/>
      <w:r>
        <w:t xml:space="preserve"> de los porcentajes de pérdidas de agua por evaporación, humedad en zona no saturada y retorno efectivo al acuífero.</w:t>
      </w:r>
    </w:p>
    <w:p w:rsidR="00146743" w:rsidRDefault="00146743" w:rsidP="00146743">
      <w:r>
        <w:t>En acuíferos donde se aprovechan fuentes externas o superficiales, los retornos de riego constituyen un beneficio para la recarga del mismo.  Para los casos de Huamantla, Libres – Oriental y Perote, los retornos compensan en una pequeña medida a la extracción, sin embargo no constituyen un factor de recuperación para los acuíferos, pues de cada metro cúbico que se extrae para su uso en riego, se estima que menos del 15% regresa al acuífero.</w:t>
      </w:r>
    </w:p>
    <w:p w:rsidR="00146743" w:rsidRDefault="00146743" w:rsidP="00146743">
      <w:r>
        <w:lastRenderedPageBreak/>
        <w:t>Estos beneficios por retornos de agua, pueden variar en la medida que se tecnifique el riego en el acuífero.</w:t>
      </w:r>
    </w:p>
    <w:p w:rsidR="00146743" w:rsidRDefault="00146743" w:rsidP="00146743">
      <w:r>
        <w:t xml:space="preserve">En términos de los criterios de evaluación previamente expuestos, los retornos de agua al acuífero representan un factor que evita una mayor sobreexplotación, con ello contribuyen en un beneficio relativo con el costo de oportunidad, que para Libres Oriental es de $0.30 / m³ y para Huamantla, de $1.86 / m³.  En dichos términos, dada una sobreexplotación de un orden de 37 hm³ en Libres – Oriental y de 35 hm³ en Huamantla, y con un coeficiente de retorno total del 15%, el beneficio de los retornos (o el costo evitado por una mayor sobreexplotación), es de un orden anual de $1.67 millones de pesos, y $9.78 millones de pesos, respectivamente.   </w:t>
      </w:r>
    </w:p>
    <w:p w:rsidR="00146743" w:rsidRDefault="00146743" w:rsidP="00146743">
      <w:r>
        <w:t xml:space="preserve">En síntesis, el beneficio </w:t>
      </w:r>
      <w:r w:rsidRPr="009A2E97">
        <w:rPr>
          <w:b/>
        </w:rPr>
        <w:t>por metro cúbico sobreexplotado</w:t>
      </w:r>
      <w:r>
        <w:t xml:space="preserve"> por concepto de percolación y su impacto sobre el costo de oportunidad del agua, resulta de </w:t>
      </w:r>
      <w:r w:rsidRPr="009A2E97">
        <w:rPr>
          <w:b/>
        </w:rPr>
        <w:t>$0.05</w:t>
      </w:r>
      <w:r>
        <w:t xml:space="preserve"> / m³ para el acuífero de Libres – Oriental, y de </w:t>
      </w:r>
      <w:r w:rsidRPr="009A2E97">
        <w:rPr>
          <w:b/>
        </w:rPr>
        <w:t>$0.28</w:t>
      </w:r>
      <w:r>
        <w:t xml:space="preserve"> / m³ para el acuífero de Huamantla.  Para el caso de Perote, no se considera sobreexplotación del acuífero.  Históricamente, al considerar la sobreexplotación total, el beneficio acumulado asciende a $207 MDP.  El beneficio anual total, es entonces de $11.45 MDP.</w:t>
      </w:r>
    </w:p>
    <w:p w:rsidR="00146743" w:rsidRDefault="00146743" w:rsidP="00146743">
      <w:r>
        <w:t>Esto no implica que la sobreexplotación sea favorable al acuífero, más bien significa que las pérdidas por costo de oportunidad se incrementarían en $11.45 MDP anuales en el caso de que no ocurrieran retornos al acuífero.  Esta estimación se realizó para el uso agrícola, principal de los usos.  Los procesos de tecnificación del riego en el futuro, deben tomar en cuenta los efectos sobre la recarga por retornos, así como el efecto económico esperado.</w:t>
      </w:r>
    </w:p>
    <w:p w:rsidR="00146743" w:rsidRPr="00EF20EA" w:rsidRDefault="00146743" w:rsidP="008011C2">
      <w:pPr>
        <w:outlineLvl w:val="0"/>
        <w:rPr>
          <w:i/>
          <w:u w:val="single"/>
        </w:rPr>
      </w:pPr>
      <w:r w:rsidRPr="00EF20EA">
        <w:rPr>
          <w:i/>
          <w:u w:val="single"/>
        </w:rPr>
        <w:t>Beneficios del uso indirecto</w:t>
      </w:r>
    </w:p>
    <w:p w:rsidR="00146743" w:rsidRDefault="00146743" w:rsidP="00146743">
      <w:r>
        <w:t>El ejemplo típico de estos beneficios se presenta cuando los esquemas de irrigación proveen agua al uso doméstico (útil para higiene y agua bebible) o inclusive usos recreativos que pueden mejorar la salud o los ingresos de la población rural marginada. Inclusive los pozos para uso agrícola en ocasiones aportan agua para la ganadería, con efectos en la productividad de lácteos.</w:t>
      </w:r>
    </w:p>
    <w:p w:rsidR="00146743" w:rsidRDefault="00146743" w:rsidP="00146743">
      <w:r>
        <w:t>Los beneficios del uso indirecto del agua en el medio rural, no fueron cuantificados económicamente; sin embargo fueron tomados en cuenta en términos de su efecto sobre la producción pecuaria y la calidad de vida de los productores agrícolas.  La eventual dificultad de obtención de agua en la agricultura, también representa un riesgo de escasez de abastecimiento de agua potable para consumo humano.</w:t>
      </w:r>
    </w:p>
    <w:p w:rsidR="00146743" w:rsidRPr="00EF20EA" w:rsidRDefault="00146743" w:rsidP="008011C2">
      <w:pPr>
        <w:outlineLvl w:val="0"/>
        <w:rPr>
          <w:i/>
          <w:u w:val="single"/>
        </w:rPr>
      </w:pPr>
      <w:r w:rsidRPr="00EF20EA">
        <w:rPr>
          <w:i/>
          <w:u w:val="single"/>
        </w:rPr>
        <w:t>Beneficios intangibles del agua</w:t>
      </w:r>
    </w:p>
    <w:p w:rsidR="00146743" w:rsidRDefault="00146743" w:rsidP="00146743">
      <w:r>
        <w:t>El valor de la confiabilidad de contar con agua en cantidad, calidad y en costos adecuados. Es decir, que existe la necesidad de pagar la sustentabilidad e inclusive, evitar la sobreexplotación (lo que debe considerarse en proyectos de desarrollo sustentable).</w:t>
      </w:r>
    </w:p>
    <w:p w:rsidR="00146743" w:rsidRDefault="00146743" w:rsidP="00146743">
      <w:r>
        <w:t>El hecho de que el agua se encuentre a una menor profundidad, reduce también las inversiones necesarias para perforar pozos o norias en localidades rurales, de modo que la profundización del nivel de bombeo es una restricción para el desarrollo del medio rural.</w:t>
      </w:r>
    </w:p>
    <w:p w:rsidR="00565FAF" w:rsidRDefault="00146743" w:rsidP="00B11646">
      <w:r>
        <w:t>Es de este modo que el uso sustentable del acuífero es una condición que favorece la disponibilidad y reduce la escasez; con los efectos en la calidad de vida que esto implica.</w:t>
      </w:r>
    </w:p>
    <w:p w:rsidR="00565FAF" w:rsidRDefault="00565FAF" w:rsidP="005573B4">
      <w:pPr>
        <w:pStyle w:val="Ttulo1"/>
      </w:pPr>
      <w:bookmarkStart w:id="162" w:name="_Toc283886475"/>
      <w:r>
        <w:lastRenderedPageBreak/>
        <w:t>Proyecciones (Pronóstico)</w:t>
      </w:r>
      <w:bookmarkEnd w:id="162"/>
    </w:p>
    <w:p w:rsidR="00565FAF" w:rsidRDefault="00565FAF" w:rsidP="005573B4">
      <w:pPr>
        <w:pStyle w:val="Ttulo2"/>
      </w:pPr>
      <w:r>
        <w:tab/>
      </w:r>
      <w:bookmarkStart w:id="163" w:name="_Toc283886476"/>
      <w:r>
        <w:t>Proyecciones de la disponibilidad</w:t>
      </w:r>
      <w:bookmarkEnd w:id="163"/>
    </w:p>
    <w:p w:rsidR="00E3707B" w:rsidRDefault="00E3707B" w:rsidP="00E3707B">
      <w:r>
        <w:t>El agua subterránea continuará siendo la principal fuente de abastecimiento en el futuro; sin embargo, el continuo agotamiento de la reserva, implica</w:t>
      </w:r>
      <w:r w:rsidR="009C2B63">
        <w:t>rá</w:t>
      </w:r>
      <w:r>
        <w:t xml:space="preserve"> el aprovechamiento de nuevos volúmenes de distinta calidad,</w:t>
      </w:r>
      <w:r w:rsidR="009C2B63">
        <w:t xml:space="preserve"> que</w:t>
      </w:r>
      <w:r>
        <w:t xml:space="preserve"> en general</w:t>
      </w:r>
      <w:r w:rsidR="009C2B63">
        <w:t xml:space="preserve"> podrían ser</w:t>
      </w:r>
      <w:r>
        <w:t xml:space="preserve"> menos apropiada.  </w:t>
      </w:r>
    </w:p>
    <w:p w:rsidR="009C2B63" w:rsidRDefault="009C2B63" w:rsidP="00804104">
      <w:r>
        <w:t>A</w:t>
      </w:r>
      <w:r w:rsidR="00E3707B">
        <w:t>quellas zonas que actualmente presentan síntomas de sobreexplotación local, necesariamente deben recuperar el equilibrio en su balance</w:t>
      </w:r>
      <w:r>
        <w:t xml:space="preserve">, a través de </w:t>
      </w:r>
      <w:r w:rsidR="00E3707B">
        <w:t xml:space="preserve">políticas de desconcentración de </w:t>
      </w:r>
      <w:r>
        <w:t>extracciones, así como con</w:t>
      </w:r>
      <w:r w:rsidR="00E3707B">
        <w:t xml:space="preserve"> el apoyo en progra</w:t>
      </w:r>
      <w:r>
        <w:t xml:space="preserve">mas de uso eficiente del agua. </w:t>
      </w:r>
    </w:p>
    <w:p w:rsidR="009C2B63" w:rsidRDefault="00E3707B" w:rsidP="00804104">
      <w:r>
        <w:t xml:space="preserve">Igualmente es necesario valorar la importancia de un nivel estático somero, que no </w:t>
      </w:r>
      <w:r w:rsidR="009C2B63">
        <w:t xml:space="preserve">solo </w:t>
      </w:r>
      <w:r>
        <w:t>constituye un incremento en las pérdidas por descarga natural, sino también la</w:t>
      </w:r>
      <w:r w:rsidR="009C2B63">
        <w:t xml:space="preserve"> pérdida de </w:t>
      </w:r>
      <w:r>
        <w:t xml:space="preserve"> </w:t>
      </w:r>
      <w:r w:rsidR="009C2B63">
        <w:t>aprovechamientos de</w:t>
      </w:r>
      <w:r>
        <w:t xml:space="preserve"> agua mediante pequeñas captaciones y la subsistencia de</w:t>
      </w:r>
      <w:r w:rsidR="009C2B63">
        <w:t xml:space="preserve"> especies vegetales </w:t>
      </w:r>
      <w:proofErr w:type="spellStart"/>
      <w:r w:rsidR="009C2B63">
        <w:t>freatófitas</w:t>
      </w:r>
      <w:proofErr w:type="spellEnd"/>
      <w:r w:rsidR="009C2B63">
        <w:t xml:space="preserve">, pero en mayor importancia, la </w:t>
      </w:r>
      <w:r>
        <w:t xml:space="preserve">continuidad de </w:t>
      </w:r>
      <w:r w:rsidR="009C2B63">
        <w:t>los principales cuerpos de agua superficial</w:t>
      </w:r>
      <w:r>
        <w:t xml:space="preserve"> y un subálveo en corrientes superficiales. </w:t>
      </w:r>
    </w:p>
    <w:p w:rsidR="00804104" w:rsidRPr="00D22070" w:rsidRDefault="00804104" w:rsidP="00804104">
      <w:r w:rsidRPr="00D22070">
        <w:t xml:space="preserve">La sobreexplotación es hasta ahora es en apariencia moderada.  Esto significa que no constituye una amenaza en cantidad para el horizonte </w:t>
      </w:r>
      <w:r w:rsidR="009C2B63">
        <w:t>de planeación hacia el año 2040; s</w:t>
      </w:r>
      <w:r w:rsidRPr="00D22070">
        <w:t>in embargo</w:t>
      </w:r>
      <w:r w:rsidR="009C2B63">
        <w:t>,</w:t>
      </w:r>
      <w:r w:rsidRPr="00D22070">
        <w:t xml:space="preserve"> puede acentuar el abatimiento principalmente en zonas como el acuífero Huamantla, donde se ha observado un descenso más acelerado de los niveles piezométricos.</w:t>
      </w:r>
    </w:p>
    <w:p w:rsidR="009C2B63" w:rsidRPr="00D71B8F" w:rsidRDefault="00D71B8F" w:rsidP="00D71B8F">
      <w:pPr>
        <w:rPr>
          <w:rFonts w:cs="Arial"/>
          <w:szCs w:val="22"/>
        </w:rPr>
      </w:pPr>
      <w:r>
        <w:t>La</w:t>
      </w:r>
      <w:r w:rsidR="00804104" w:rsidRPr="00D22070">
        <w:t xml:space="preserve"> </w:t>
      </w:r>
      <w:r w:rsidR="00804104" w:rsidRPr="00805711">
        <w:rPr>
          <w:i/>
        </w:rPr>
        <w:t>disponibilidad media anual</w:t>
      </w:r>
      <w:r w:rsidR="00804104" w:rsidRPr="00D22070">
        <w:t xml:space="preserve"> para </w:t>
      </w:r>
      <w:r w:rsidR="001908A0">
        <w:t xml:space="preserve">los acuíferos de Huamantla, Libres Oriental y Perote </w:t>
      </w:r>
      <w:r w:rsidR="004F704F">
        <w:t>result</w:t>
      </w:r>
      <w:r>
        <w:t>ó</w:t>
      </w:r>
      <w:r w:rsidR="004F704F">
        <w:t xml:space="preserve"> de los análisis </w:t>
      </w:r>
      <w:r w:rsidR="00804104" w:rsidRPr="00D22070">
        <w:t xml:space="preserve">de recarga y descarga obtenidos </w:t>
      </w:r>
      <w:r w:rsidR="004F704F">
        <w:t xml:space="preserve">a partir de las </w:t>
      </w:r>
      <w:r w:rsidR="001908A0" w:rsidRPr="00D22070">
        <w:t>actualizacion</w:t>
      </w:r>
      <w:r w:rsidR="001908A0">
        <w:t>es</w:t>
      </w:r>
      <w:r w:rsidR="00804104" w:rsidRPr="00D22070">
        <w:t xml:space="preserve"> del balance hidrogeológico, </w:t>
      </w:r>
      <w:r w:rsidR="001908A0">
        <w:t xml:space="preserve">las cuales se realizaron </w:t>
      </w:r>
      <w:r w:rsidR="004F704F">
        <w:t>con datos del periodo 1996–</w:t>
      </w:r>
      <w:r w:rsidR="00804104" w:rsidRPr="00D22070">
        <w:t>2008</w:t>
      </w:r>
      <w:r w:rsidR="004F704F">
        <w:t>,</w:t>
      </w:r>
      <w:r w:rsidR="00804104" w:rsidRPr="00D22070">
        <w:t xml:space="preserve"> y cuyos resultados contrastan con los reportados en el Diario Oficial de la Federación del 28 de agosto de 2009.</w:t>
      </w:r>
      <w:r>
        <w:t xml:space="preserve"> Esa así que la </w:t>
      </w:r>
      <w:r w:rsidR="004F704F">
        <w:rPr>
          <w:rFonts w:cs="Arial"/>
          <w:szCs w:val="22"/>
        </w:rPr>
        <w:t>disponibilidad se determinó</w:t>
      </w:r>
      <w:r w:rsidR="00804104" w:rsidRPr="00D22070">
        <w:rPr>
          <w:rFonts w:cs="Arial"/>
          <w:szCs w:val="22"/>
        </w:rPr>
        <w:t xml:space="preserve"> por medio de los criterios que estipula la norma respectiva (</w:t>
      </w:r>
      <w:r w:rsidR="00804104" w:rsidRPr="00D22070">
        <w:rPr>
          <w:rStyle w:val="Refdenotaalpie"/>
          <w:rFonts w:cs="Arial"/>
          <w:szCs w:val="22"/>
        </w:rPr>
        <w:footnoteReference w:id="2"/>
      </w:r>
      <w:r w:rsidR="00804104" w:rsidRPr="00D22070">
        <w:rPr>
          <w:rFonts w:cs="Arial"/>
          <w:szCs w:val="22"/>
        </w:rPr>
        <w:t>) y en los resultados obtenidos del balance hidrogeológico.</w:t>
      </w:r>
    </w:p>
    <w:tbl>
      <w:tblPr>
        <w:tblpPr w:leftFromText="141" w:rightFromText="141" w:vertAnchor="text" w:horzAnchor="margin" w:tblpXSpec="center" w:tblpY="14"/>
        <w:tblW w:w="9046" w:type="dxa"/>
        <w:tblLayout w:type="fixed"/>
        <w:tblLook w:val="0000"/>
      </w:tblPr>
      <w:tblGrid>
        <w:gridCol w:w="2151"/>
        <w:gridCol w:w="635"/>
        <w:gridCol w:w="1174"/>
        <w:gridCol w:w="567"/>
        <w:gridCol w:w="1420"/>
        <w:gridCol w:w="514"/>
        <w:gridCol w:w="2585"/>
      </w:tblGrid>
      <w:tr w:rsidR="00FD397C" w:rsidRPr="00D22070" w:rsidTr="00617602">
        <w:tc>
          <w:tcPr>
            <w:tcW w:w="2151" w:type="dxa"/>
            <w:vAlign w:val="center"/>
          </w:tcPr>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Disponibilidad media anual</w:t>
            </w:r>
          </w:p>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de agua subterránea en una</w:t>
            </w:r>
          </w:p>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unidad hidrogeológica</w:t>
            </w:r>
          </w:p>
          <w:p w:rsidR="00FD397C" w:rsidRPr="00D22070" w:rsidRDefault="00FD397C" w:rsidP="00DB3C44">
            <w:pPr>
              <w:ind w:firstLine="0"/>
              <w:jc w:val="center"/>
              <w:rPr>
                <w:rFonts w:ascii="Arial Narrow" w:hAnsi="Arial Narrow" w:cs="Arial Narrow"/>
                <w:b/>
                <w:bCs/>
                <w:sz w:val="18"/>
                <w:szCs w:val="18"/>
                <w:lang w:val="es-ES"/>
              </w:rPr>
            </w:pPr>
            <w:r w:rsidRPr="00D22070">
              <w:rPr>
                <w:rFonts w:ascii="Arial Narrow" w:hAnsi="Arial Narrow" w:cs="Arial Narrow"/>
                <w:b/>
                <w:bCs/>
                <w:sz w:val="18"/>
                <w:szCs w:val="18"/>
                <w:lang w:val="es-ES"/>
              </w:rPr>
              <w:t>(DAS)</w:t>
            </w:r>
          </w:p>
        </w:tc>
        <w:tc>
          <w:tcPr>
            <w:tcW w:w="635" w:type="dxa"/>
            <w:vAlign w:val="center"/>
          </w:tcPr>
          <w:p w:rsidR="00FD397C" w:rsidRPr="00D22070" w:rsidRDefault="00FD397C" w:rsidP="00DB3C44">
            <w:pPr>
              <w:jc w:val="center"/>
              <w:rPr>
                <w:rFonts w:ascii="Arial Narrow" w:hAnsi="Arial Narrow" w:cs="Arial Narrow"/>
                <w:sz w:val="18"/>
                <w:szCs w:val="18"/>
                <w:lang w:val="es-ES"/>
              </w:rPr>
            </w:pPr>
            <w:r w:rsidRPr="00D22070">
              <w:rPr>
                <w:rFonts w:ascii="Arial Narrow" w:hAnsi="Arial Narrow" w:cs="Arial Narrow"/>
                <w:sz w:val="18"/>
                <w:szCs w:val="18"/>
                <w:lang w:val="es-ES"/>
              </w:rPr>
              <w:t>=</w:t>
            </w:r>
          </w:p>
        </w:tc>
        <w:tc>
          <w:tcPr>
            <w:tcW w:w="1174" w:type="dxa"/>
            <w:vAlign w:val="center"/>
          </w:tcPr>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Recarga total</w:t>
            </w:r>
          </w:p>
          <w:p w:rsidR="00FD397C" w:rsidRPr="00D22070" w:rsidRDefault="00FD397C" w:rsidP="00DB3C44">
            <w:pPr>
              <w:ind w:firstLine="25"/>
              <w:jc w:val="center"/>
              <w:rPr>
                <w:rFonts w:ascii="Arial Narrow" w:hAnsi="Arial Narrow" w:cs="Arial Narrow"/>
                <w:sz w:val="18"/>
                <w:szCs w:val="18"/>
                <w:lang w:val="es-ES"/>
              </w:rPr>
            </w:pPr>
            <w:r w:rsidRPr="00D22070">
              <w:rPr>
                <w:rFonts w:ascii="Arial Narrow" w:hAnsi="Arial Narrow" w:cs="Arial Narrow"/>
                <w:sz w:val="18"/>
                <w:szCs w:val="18"/>
                <w:lang w:val="es-ES"/>
              </w:rPr>
              <w:t>media anual</w:t>
            </w:r>
          </w:p>
          <w:p w:rsidR="00FD397C" w:rsidRPr="00D22070" w:rsidRDefault="00FD397C" w:rsidP="00DB3C44">
            <w:pPr>
              <w:ind w:firstLine="25"/>
              <w:jc w:val="center"/>
              <w:rPr>
                <w:rFonts w:ascii="Arial Narrow" w:hAnsi="Arial Narrow" w:cs="Arial Narrow"/>
                <w:b/>
                <w:bCs/>
                <w:sz w:val="18"/>
                <w:szCs w:val="18"/>
                <w:lang w:val="es-ES"/>
              </w:rPr>
            </w:pPr>
            <w:r w:rsidRPr="00D22070">
              <w:rPr>
                <w:rFonts w:ascii="Arial Narrow" w:hAnsi="Arial Narrow" w:cs="Arial Narrow"/>
                <w:b/>
                <w:bCs/>
                <w:sz w:val="18"/>
                <w:szCs w:val="18"/>
                <w:lang w:val="es-ES"/>
              </w:rPr>
              <w:t>(</w:t>
            </w:r>
            <w:proofErr w:type="spellStart"/>
            <w:r w:rsidRPr="00D22070">
              <w:rPr>
                <w:rFonts w:ascii="Arial Narrow" w:hAnsi="Arial Narrow" w:cs="Arial Narrow"/>
                <w:b/>
                <w:bCs/>
                <w:sz w:val="18"/>
                <w:szCs w:val="18"/>
                <w:lang w:val="es-ES"/>
              </w:rPr>
              <w:t>Rt</w:t>
            </w:r>
            <w:proofErr w:type="spellEnd"/>
            <w:r w:rsidRPr="00D22070">
              <w:rPr>
                <w:rFonts w:ascii="Arial Narrow" w:hAnsi="Arial Narrow" w:cs="Arial Narrow"/>
                <w:b/>
                <w:bCs/>
                <w:sz w:val="18"/>
                <w:szCs w:val="18"/>
                <w:lang w:val="es-ES"/>
              </w:rPr>
              <w:t>)</w:t>
            </w:r>
          </w:p>
        </w:tc>
        <w:tc>
          <w:tcPr>
            <w:tcW w:w="567" w:type="dxa"/>
            <w:vAlign w:val="center"/>
          </w:tcPr>
          <w:p w:rsidR="00FD397C" w:rsidRPr="00D22070" w:rsidRDefault="00FD397C" w:rsidP="00DB3C44">
            <w:pPr>
              <w:jc w:val="center"/>
              <w:rPr>
                <w:rFonts w:ascii="Arial Narrow" w:hAnsi="Arial Narrow" w:cs="Arial Narrow"/>
                <w:sz w:val="18"/>
                <w:szCs w:val="18"/>
                <w:lang w:val="es-ES"/>
              </w:rPr>
            </w:pPr>
            <w:r w:rsidRPr="00D22070">
              <w:rPr>
                <w:rFonts w:ascii="Arial Narrow" w:hAnsi="Arial Narrow" w:cs="Arial Narrow"/>
                <w:sz w:val="18"/>
                <w:szCs w:val="18"/>
                <w:lang w:val="es-ES"/>
              </w:rPr>
              <w:t>-</w:t>
            </w:r>
          </w:p>
        </w:tc>
        <w:tc>
          <w:tcPr>
            <w:tcW w:w="1420" w:type="dxa"/>
            <w:vAlign w:val="center"/>
          </w:tcPr>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Descarga natural</w:t>
            </w:r>
          </w:p>
          <w:p w:rsidR="00FD397C" w:rsidRPr="00D22070" w:rsidRDefault="00805711" w:rsidP="00DB3C44">
            <w:pPr>
              <w:ind w:firstLine="0"/>
              <w:jc w:val="center"/>
              <w:rPr>
                <w:rFonts w:ascii="Arial Narrow" w:hAnsi="Arial Narrow" w:cs="Arial Narrow"/>
                <w:sz w:val="18"/>
                <w:szCs w:val="18"/>
                <w:lang w:val="es-ES"/>
              </w:rPr>
            </w:pPr>
            <w:r>
              <w:rPr>
                <w:rFonts w:ascii="Arial Narrow" w:hAnsi="Arial Narrow" w:cs="Arial Narrow"/>
                <w:sz w:val="18"/>
                <w:szCs w:val="18"/>
                <w:lang w:val="es-ES"/>
              </w:rPr>
              <w:t>c</w:t>
            </w:r>
            <w:r w:rsidR="00FD397C" w:rsidRPr="00D22070">
              <w:rPr>
                <w:rFonts w:ascii="Arial Narrow" w:hAnsi="Arial Narrow" w:cs="Arial Narrow"/>
                <w:sz w:val="18"/>
                <w:szCs w:val="18"/>
                <w:lang w:val="es-ES"/>
              </w:rPr>
              <w:t>omprometida</w:t>
            </w:r>
          </w:p>
          <w:p w:rsidR="00FD397C" w:rsidRPr="00D22070" w:rsidRDefault="00FD397C" w:rsidP="00DB3C44">
            <w:pPr>
              <w:ind w:firstLine="0"/>
              <w:jc w:val="center"/>
              <w:rPr>
                <w:rFonts w:ascii="Arial Narrow" w:hAnsi="Arial Narrow" w:cs="Arial Narrow"/>
                <w:b/>
                <w:bCs/>
                <w:sz w:val="18"/>
                <w:szCs w:val="18"/>
                <w:lang w:val="es-ES"/>
              </w:rPr>
            </w:pPr>
            <w:r w:rsidRPr="00D22070">
              <w:rPr>
                <w:rFonts w:ascii="Arial Narrow" w:hAnsi="Arial Narrow" w:cs="Arial Narrow"/>
                <w:b/>
                <w:bCs/>
                <w:sz w:val="18"/>
                <w:szCs w:val="18"/>
                <w:lang w:val="es-ES"/>
              </w:rPr>
              <w:t>(DNCOM)</w:t>
            </w:r>
          </w:p>
        </w:tc>
        <w:tc>
          <w:tcPr>
            <w:tcW w:w="514" w:type="dxa"/>
            <w:vAlign w:val="center"/>
          </w:tcPr>
          <w:p w:rsidR="00FD397C" w:rsidRPr="00D22070" w:rsidRDefault="00FD397C" w:rsidP="00DB3C44">
            <w:pPr>
              <w:jc w:val="center"/>
              <w:rPr>
                <w:rFonts w:ascii="Arial Narrow" w:hAnsi="Arial Narrow" w:cs="Arial Narrow"/>
                <w:sz w:val="18"/>
                <w:szCs w:val="18"/>
                <w:lang w:val="es-ES"/>
              </w:rPr>
            </w:pPr>
            <w:r w:rsidRPr="00D22070">
              <w:rPr>
                <w:rFonts w:ascii="Arial Narrow" w:hAnsi="Arial Narrow" w:cs="Arial Narrow"/>
                <w:sz w:val="18"/>
                <w:szCs w:val="18"/>
                <w:lang w:val="es-ES"/>
              </w:rPr>
              <w:t>-</w:t>
            </w:r>
          </w:p>
        </w:tc>
        <w:tc>
          <w:tcPr>
            <w:tcW w:w="2585" w:type="dxa"/>
            <w:vAlign w:val="center"/>
          </w:tcPr>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 xml:space="preserve">Volumen concesionado de agua </w:t>
            </w:r>
          </w:p>
          <w:p w:rsidR="00FD397C" w:rsidRPr="00D22070" w:rsidRDefault="00FD397C" w:rsidP="00DB3C44">
            <w:pPr>
              <w:ind w:firstLine="0"/>
              <w:jc w:val="center"/>
              <w:rPr>
                <w:rFonts w:ascii="Arial Narrow" w:hAnsi="Arial Narrow" w:cs="Arial Narrow"/>
                <w:sz w:val="18"/>
                <w:szCs w:val="18"/>
                <w:lang w:val="es-ES"/>
              </w:rPr>
            </w:pPr>
            <w:proofErr w:type="gramStart"/>
            <w:r w:rsidRPr="00D22070">
              <w:rPr>
                <w:rFonts w:ascii="Arial Narrow" w:hAnsi="Arial Narrow" w:cs="Arial Narrow"/>
                <w:sz w:val="18"/>
                <w:szCs w:val="18"/>
                <w:lang w:val="es-ES"/>
              </w:rPr>
              <w:t>subterránea</w:t>
            </w:r>
            <w:proofErr w:type="gramEnd"/>
            <w:r w:rsidRPr="00D22070">
              <w:rPr>
                <w:rFonts w:ascii="Arial Narrow" w:hAnsi="Arial Narrow" w:cs="Arial Narrow"/>
                <w:sz w:val="18"/>
                <w:szCs w:val="18"/>
                <w:lang w:val="es-ES"/>
              </w:rPr>
              <w:t xml:space="preserve"> inscrito en el REPDA. </w:t>
            </w:r>
          </w:p>
          <w:p w:rsidR="00FD397C" w:rsidRPr="00D22070" w:rsidRDefault="00FD397C" w:rsidP="00DB3C44">
            <w:pPr>
              <w:ind w:firstLine="0"/>
              <w:jc w:val="center"/>
              <w:rPr>
                <w:rFonts w:ascii="Arial Narrow" w:hAnsi="Arial Narrow" w:cs="Arial Narrow"/>
                <w:sz w:val="18"/>
                <w:szCs w:val="18"/>
                <w:lang w:val="es-ES"/>
              </w:rPr>
            </w:pPr>
            <w:r w:rsidRPr="00D22070">
              <w:rPr>
                <w:rFonts w:ascii="Arial Narrow" w:hAnsi="Arial Narrow" w:cs="Arial Narrow"/>
                <w:sz w:val="18"/>
                <w:szCs w:val="18"/>
                <w:lang w:val="es-ES"/>
              </w:rPr>
              <w:t>31 de marzo de 2009</w:t>
            </w:r>
          </w:p>
          <w:p w:rsidR="00FD397C" w:rsidRPr="00D22070" w:rsidRDefault="00FD397C" w:rsidP="00DB3C44">
            <w:pPr>
              <w:ind w:firstLine="0"/>
              <w:jc w:val="center"/>
              <w:rPr>
                <w:rFonts w:ascii="Arial Narrow" w:hAnsi="Arial Narrow" w:cs="Arial Narrow"/>
                <w:b/>
                <w:bCs/>
                <w:sz w:val="18"/>
                <w:szCs w:val="18"/>
                <w:lang w:val="es-ES"/>
              </w:rPr>
            </w:pPr>
            <w:r w:rsidRPr="00D22070">
              <w:rPr>
                <w:rFonts w:ascii="Arial Narrow" w:hAnsi="Arial Narrow" w:cs="Arial Narrow"/>
                <w:b/>
                <w:bCs/>
                <w:sz w:val="18"/>
                <w:szCs w:val="18"/>
                <w:lang w:val="es-ES"/>
              </w:rPr>
              <w:t>(VCAS)</w:t>
            </w:r>
          </w:p>
        </w:tc>
      </w:tr>
    </w:tbl>
    <w:p w:rsidR="00804104" w:rsidRPr="00D22070" w:rsidRDefault="00804104" w:rsidP="00804104"/>
    <w:p w:rsidR="00416956" w:rsidRDefault="00804104" w:rsidP="00416956">
      <w:pPr>
        <w:rPr>
          <w:rFonts w:cs="Arial"/>
          <w:szCs w:val="22"/>
        </w:rPr>
      </w:pPr>
      <w:r w:rsidRPr="00D22070">
        <w:rPr>
          <w:rFonts w:cs="Arial"/>
          <w:szCs w:val="22"/>
        </w:rPr>
        <w:t xml:space="preserve">La </w:t>
      </w:r>
      <w:r w:rsidR="00D71B8F" w:rsidRPr="00805711">
        <w:rPr>
          <w:rFonts w:cs="Arial"/>
          <w:i/>
          <w:szCs w:val="22"/>
        </w:rPr>
        <w:t>recarga total media anual (</w:t>
      </w:r>
      <w:proofErr w:type="spellStart"/>
      <w:r w:rsidR="00D71B8F" w:rsidRPr="00805711">
        <w:rPr>
          <w:rFonts w:cs="Arial"/>
          <w:i/>
          <w:szCs w:val="22"/>
        </w:rPr>
        <w:t>Rt</w:t>
      </w:r>
      <w:proofErr w:type="spellEnd"/>
      <w:r w:rsidR="00D71B8F" w:rsidRPr="00805711">
        <w:rPr>
          <w:rFonts w:cs="Arial"/>
          <w:i/>
          <w:szCs w:val="22"/>
        </w:rPr>
        <w:t>)</w:t>
      </w:r>
      <w:r w:rsidRPr="00D22070">
        <w:rPr>
          <w:rFonts w:cs="Arial"/>
          <w:szCs w:val="22"/>
        </w:rPr>
        <w:t xml:space="preserve"> se calcula dividiendo la recarga total en el peri</w:t>
      </w:r>
      <w:r w:rsidR="004F704F">
        <w:rPr>
          <w:rFonts w:cs="Arial"/>
          <w:szCs w:val="22"/>
        </w:rPr>
        <w:t xml:space="preserve">odo de 1996-2008 entre el número de años (12 años). De tal forma, para el acuífero Huamantla, </w:t>
      </w:r>
      <w:r w:rsidR="00416956">
        <w:rPr>
          <w:rFonts w:cs="Arial"/>
          <w:szCs w:val="22"/>
        </w:rPr>
        <w:t xml:space="preserve">se obtiene la existencia de </w:t>
      </w:r>
      <w:r w:rsidRPr="00D22070">
        <w:rPr>
          <w:rFonts w:cs="Arial"/>
          <w:szCs w:val="22"/>
        </w:rPr>
        <w:t xml:space="preserve">64.3 </w:t>
      </w:r>
      <w:r w:rsidR="00D71B8F">
        <w:rPr>
          <w:rFonts w:cs="Arial"/>
          <w:szCs w:val="22"/>
        </w:rPr>
        <w:t>hm</w:t>
      </w:r>
      <w:r w:rsidR="00D71B8F">
        <w:rPr>
          <w:rFonts w:cs="Arial"/>
          <w:szCs w:val="22"/>
          <w:vertAlign w:val="superscript"/>
        </w:rPr>
        <w:t>3</w:t>
      </w:r>
      <w:r w:rsidR="00D71B8F">
        <w:rPr>
          <w:rFonts w:cs="Arial"/>
          <w:szCs w:val="22"/>
        </w:rPr>
        <w:t>/año</w:t>
      </w:r>
      <w:r w:rsidRPr="00D22070">
        <w:rPr>
          <w:rFonts w:cs="Arial"/>
          <w:szCs w:val="22"/>
        </w:rPr>
        <w:t xml:space="preserve">, de los cuales 59.7 </w:t>
      </w:r>
      <w:r w:rsidR="00D71B8F">
        <w:rPr>
          <w:rFonts w:cs="Arial"/>
          <w:szCs w:val="22"/>
        </w:rPr>
        <w:t>hm</w:t>
      </w:r>
      <w:r w:rsidR="00D71B8F">
        <w:rPr>
          <w:rFonts w:cs="Arial"/>
          <w:szCs w:val="22"/>
          <w:vertAlign w:val="superscript"/>
        </w:rPr>
        <w:t>3</w:t>
      </w:r>
      <w:r w:rsidR="00D71B8F">
        <w:rPr>
          <w:rFonts w:cs="Arial"/>
          <w:szCs w:val="22"/>
        </w:rPr>
        <w:t xml:space="preserve">/año </w:t>
      </w:r>
      <w:r w:rsidRPr="00D71B8F">
        <w:rPr>
          <w:rFonts w:cs="Arial"/>
          <w:szCs w:val="22"/>
        </w:rPr>
        <w:t>corresponden</w:t>
      </w:r>
      <w:r w:rsidRPr="00D22070">
        <w:rPr>
          <w:rFonts w:cs="Arial"/>
          <w:szCs w:val="22"/>
        </w:rPr>
        <w:t xml:space="preserve"> a la recarga natural y el resto a la recarga inducida</w:t>
      </w:r>
      <w:r w:rsidR="00416956">
        <w:rPr>
          <w:rFonts w:cs="Arial"/>
          <w:szCs w:val="22"/>
        </w:rPr>
        <w:t>; para el caso del acuífero Libres Oriental, se presentan 306.3</w:t>
      </w:r>
      <w:r w:rsidR="00416956" w:rsidRPr="00621D9A">
        <w:rPr>
          <w:rFonts w:cs="Arial"/>
          <w:szCs w:val="22"/>
        </w:rPr>
        <w:t xml:space="preserve"> </w:t>
      </w:r>
      <w:r w:rsidR="00815903">
        <w:rPr>
          <w:rFonts w:cs="Arial"/>
          <w:szCs w:val="22"/>
        </w:rPr>
        <w:t>hm</w:t>
      </w:r>
      <w:r w:rsidR="00815903">
        <w:rPr>
          <w:rFonts w:cs="Arial"/>
          <w:szCs w:val="22"/>
          <w:vertAlign w:val="superscript"/>
        </w:rPr>
        <w:t>3</w:t>
      </w:r>
      <w:r w:rsidR="00815903">
        <w:rPr>
          <w:rFonts w:cs="Arial"/>
          <w:szCs w:val="22"/>
        </w:rPr>
        <w:t>/año</w:t>
      </w:r>
      <w:r w:rsidR="00416956" w:rsidRPr="00621D9A">
        <w:rPr>
          <w:rFonts w:cs="Arial"/>
          <w:szCs w:val="22"/>
        </w:rPr>
        <w:t xml:space="preserve">, de los cuales </w:t>
      </w:r>
      <w:r w:rsidR="00416956">
        <w:rPr>
          <w:rFonts w:cs="Arial"/>
          <w:szCs w:val="22"/>
        </w:rPr>
        <w:t>295.5</w:t>
      </w:r>
      <w:r w:rsidR="00416956" w:rsidRPr="00621D9A">
        <w:rPr>
          <w:rFonts w:cs="Arial"/>
          <w:szCs w:val="22"/>
        </w:rPr>
        <w:t xml:space="preserve"> </w:t>
      </w:r>
      <w:r w:rsidR="00815903">
        <w:rPr>
          <w:rFonts w:cs="Arial"/>
          <w:szCs w:val="22"/>
        </w:rPr>
        <w:t>hm</w:t>
      </w:r>
      <w:r w:rsidR="00815903">
        <w:rPr>
          <w:rFonts w:cs="Arial"/>
          <w:szCs w:val="22"/>
          <w:vertAlign w:val="superscript"/>
        </w:rPr>
        <w:t>3</w:t>
      </w:r>
      <w:r w:rsidR="00815903">
        <w:rPr>
          <w:rFonts w:cs="Arial"/>
          <w:szCs w:val="22"/>
        </w:rPr>
        <w:t>/año</w:t>
      </w:r>
      <w:r w:rsidR="00815903" w:rsidRPr="00621D9A">
        <w:rPr>
          <w:rFonts w:cs="Arial"/>
          <w:szCs w:val="22"/>
        </w:rPr>
        <w:t xml:space="preserve"> </w:t>
      </w:r>
      <w:r w:rsidR="00416956" w:rsidRPr="00621D9A">
        <w:rPr>
          <w:rFonts w:cs="Arial"/>
          <w:szCs w:val="22"/>
        </w:rPr>
        <w:t xml:space="preserve">corresponden a la recarga natural y </w:t>
      </w:r>
      <w:r w:rsidR="00416956">
        <w:rPr>
          <w:rFonts w:cs="Arial"/>
          <w:szCs w:val="22"/>
        </w:rPr>
        <w:t>el resto</w:t>
      </w:r>
      <w:r w:rsidR="00416956" w:rsidRPr="00621D9A">
        <w:rPr>
          <w:rFonts w:cs="Arial"/>
          <w:szCs w:val="22"/>
        </w:rPr>
        <w:t xml:space="preserve"> a la recarga inducida</w:t>
      </w:r>
      <w:r w:rsidR="00416956">
        <w:rPr>
          <w:rFonts w:cs="Arial"/>
          <w:szCs w:val="22"/>
        </w:rPr>
        <w:t>; finalmente, para el acuífero Perote-Zalayeta, se obtienen 156.3</w:t>
      </w:r>
      <w:r w:rsidR="00416956" w:rsidRPr="00621D9A">
        <w:rPr>
          <w:rFonts w:cs="Arial"/>
          <w:szCs w:val="22"/>
        </w:rPr>
        <w:t xml:space="preserve"> </w:t>
      </w:r>
      <w:r w:rsidR="00815903">
        <w:rPr>
          <w:rFonts w:cs="Arial"/>
          <w:szCs w:val="22"/>
        </w:rPr>
        <w:t>hm</w:t>
      </w:r>
      <w:r w:rsidR="00815903">
        <w:rPr>
          <w:rFonts w:cs="Arial"/>
          <w:szCs w:val="22"/>
          <w:vertAlign w:val="superscript"/>
        </w:rPr>
        <w:t>3</w:t>
      </w:r>
      <w:r w:rsidR="00815903">
        <w:rPr>
          <w:rFonts w:cs="Arial"/>
          <w:szCs w:val="22"/>
        </w:rPr>
        <w:t>/año</w:t>
      </w:r>
      <w:r w:rsidR="00416956" w:rsidRPr="00621D9A">
        <w:rPr>
          <w:rFonts w:cs="Arial"/>
          <w:szCs w:val="22"/>
        </w:rPr>
        <w:t xml:space="preserve">, </w:t>
      </w:r>
      <w:r w:rsidR="00416956">
        <w:rPr>
          <w:rFonts w:cs="Arial"/>
          <w:szCs w:val="22"/>
        </w:rPr>
        <w:t>con</w:t>
      </w:r>
      <w:r w:rsidR="00416956" w:rsidRPr="00621D9A">
        <w:rPr>
          <w:rFonts w:cs="Arial"/>
          <w:szCs w:val="22"/>
        </w:rPr>
        <w:t xml:space="preserve"> </w:t>
      </w:r>
      <w:r w:rsidR="00416956">
        <w:rPr>
          <w:rFonts w:cs="Arial"/>
          <w:szCs w:val="22"/>
        </w:rPr>
        <w:t>153.8</w:t>
      </w:r>
      <w:r w:rsidR="00416956" w:rsidRPr="00621D9A">
        <w:rPr>
          <w:rFonts w:cs="Arial"/>
          <w:szCs w:val="22"/>
        </w:rPr>
        <w:t xml:space="preserve"> millones de </w:t>
      </w:r>
      <w:r w:rsidR="00815903">
        <w:rPr>
          <w:rFonts w:cs="Arial"/>
          <w:szCs w:val="22"/>
        </w:rPr>
        <w:t>hm</w:t>
      </w:r>
      <w:r w:rsidR="00815903">
        <w:rPr>
          <w:rFonts w:cs="Arial"/>
          <w:szCs w:val="22"/>
          <w:vertAlign w:val="superscript"/>
        </w:rPr>
        <w:t>3</w:t>
      </w:r>
      <w:r w:rsidR="00815903">
        <w:rPr>
          <w:rFonts w:cs="Arial"/>
          <w:szCs w:val="22"/>
        </w:rPr>
        <w:t xml:space="preserve">/año </w:t>
      </w:r>
      <w:r w:rsidR="00416956">
        <w:rPr>
          <w:rFonts w:cs="Arial"/>
          <w:szCs w:val="22"/>
        </w:rPr>
        <w:t xml:space="preserve">para </w:t>
      </w:r>
      <w:r w:rsidR="00416956" w:rsidRPr="00621D9A">
        <w:rPr>
          <w:rFonts w:cs="Arial"/>
          <w:szCs w:val="22"/>
        </w:rPr>
        <w:t xml:space="preserve">la recarga natural y </w:t>
      </w:r>
      <w:r w:rsidR="00416956">
        <w:rPr>
          <w:rFonts w:cs="Arial"/>
          <w:szCs w:val="22"/>
        </w:rPr>
        <w:t>el resto</w:t>
      </w:r>
      <w:r w:rsidR="00416956" w:rsidRPr="00621D9A">
        <w:rPr>
          <w:rFonts w:cs="Arial"/>
          <w:szCs w:val="22"/>
        </w:rPr>
        <w:t xml:space="preserve"> a la recarga inducida</w:t>
      </w:r>
      <w:r w:rsidR="00416956">
        <w:rPr>
          <w:rFonts w:cs="Arial"/>
          <w:szCs w:val="22"/>
        </w:rPr>
        <w:t>.</w:t>
      </w:r>
    </w:p>
    <w:p w:rsidR="00D549B1" w:rsidRDefault="00804104" w:rsidP="00D549B1">
      <w:pPr>
        <w:rPr>
          <w:rFonts w:cs="Arial"/>
          <w:szCs w:val="22"/>
        </w:rPr>
      </w:pPr>
      <w:r w:rsidRPr="00D22070">
        <w:rPr>
          <w:rFonts w:cs="Arial"/>
          <w:szCs w:val="22"/>
        </w:rPr>
        <w:t xml:space="preserve">La </w:t>
      </w:r>
      <w:r w:rsidRPr="00805711">
        <w:rPr>
          <w:rFonts w:cs="Arial"/>
          <w:i/>
          <w:szCs w:val="22"/>
        </w:rPr>
        <w:t>descarga na</w:t>
      </w:r>
      <w:r w:rsidR="00D549B1" w:rsidRPr="00805711">
        <w:rPr>
          <w:rFonts w:cs="Arial"/>
          <w:i/>
          <w:szCs w:val="22"/>
        </w:rPr>
        <w:t xml:space="preserve">tural comprometida </w:t>
      </w:r>
      <w:r w:rsidR="00805711" w:rsidRPr="00805711">
        <w:rPr>
          <w:rFonts w:cs="Arial"/>
          <w:i/>
          <w:szCs w:val="22"/>
        </w:rPr>
        <w:t>(DNCOM)</w:t>
      </w:r>
      <w:r w:rsidR="00805711">
        <w:rPr>
          <w:rFonts w:cs="Arial"/>
          <w:szCs w:val="22"/>
        </w:rPr>
        <w:t xml:space="preserve"> </w:t>
      </w:r>
      <w:r w:rsidR="00D549B1">
        <w:rPr>
          <w:rFonts w:cs="Arial"/>
          <w:szCs w:val="22"/>
        </w:rPr>
        <w:t>se cuantificó</w:t>
      </w:r>
      <w:r w:rsidRPr="00D22070">
        <w:rPr>
          <w:rFonts w:cs="Arial"/>
          <w:szCs w:val="22"/>
        </w:rPr>
        <w:t xml:space="preserve"> mediante medición de volúmenes de agua procedentes de manantiales, caudal base de los ríos que son alimentados por el acuífero, salidas por evapotranspiración</w:t>
      </w:r>
      <w:r w:rsidR="009A39FA">
        <w:rPr>
          <w:rFonts w:cs="Arial"/>
          <w:szCs w:val="22"/>
        </w:rPr>
        <w:t xml:space="preserve"> y</w:t>
      </w:r>
      <w:r w:rsidRPr="00D22070">
        <w:rPr>
          <w:rFonts w:cs="Arial"/>
          <w:szCs w:val="22"/>
        </w:rPr>
        <w:t xml:space="preserve"> salidas por flujo subterráneo horizontal hacia otros acuíferos. Para </w:t>
      </w:r>
      <w:r w:rsidR="009A39FA">
        <w:rPr>
          <w:rFonts w:cs="Arial"/>
          <w:szCs w:val="22"/>
        </w:rPr>
        <w:t xml:space="preserve">el caso del </w:t>
      </w:r>
      <w:r w:rsidR="00D549B1">
        <w:rPr>
          <w:rFonts w:cs="Arial"/>
          <w:szCs w:val="22"/>
        </w:rPr>
        <w:t xml:space="preserve">acuífero Huamantla </w:t>
      </w:r>
      <w:r w:rsidRPr="00D22070">
        <w:rPr>
          <w:rFonts w:cs="Arial"/>
          <w:szCs w:val="22"/>
        </w:rPr>
        <w:t xml:space="preserve">se tomó como descarga natural comprometida el volumen total de la salida horizontal de agua subterránea hacia el acuífero de Libres – Oriental, </w:t>
      </w:r>
      <w:proofErr w:type="spellStart"/>
      <w:r w:rsidRPr="00D22070">
        <w:rPr>
          <w:rFonts w:cs="Arial"/>
          <w:szCs w:val="22"/>
        </w:rPr>
        <w:t>Pue</w:t>
      </w:r>
      <w:proofErr w:type="spellEnd"/>
      <w:r w:rsidRPr="00D22070">
        <w:rPr>
          <w:rFonts w:cs="Arial"/>
          <w:szCs w:val="22"/>
        </w:rPr>
        <w:t xml:space="preserve">. (13.1 </w:t>
      </w:r>
      <w:r w:rsidR="009A39FA">
        <w:rPr>
          <w:rFonts w:cs="Arial"/>
          <w:szCs w:val="22"/>
        </w:rPr>
        <w:t>hm</w:t>
      </w:r>
      <w:r w:rsidR="009A39FA">
        <w:rPr>
          <w:rFonts w:cs="Arial"/>
          <w:szCs w:val="22"/>
          <w:vertAlign w:val="superscript"/>
        </w:rPr>
        <w:t>3</w:t>
      </w:r>
      <w:r w:rsidR="009A39FA">
        <w:rPr>
          <w:rFonts w:cs="Arial"/>
          <w:szCs w:val="22"/>
        </w:rPr>
        <w:t>/año</w:t>
      </w:r>
      <w:r w:rsidRPr="00D22070">
        <w:rPr>
          <w:rFonts w:cs="Arial"/>
          <w:szCs w:val="22"/>
        </w:rPr>
        <w:t xml:space="preserve">) y el volumen de los manantiales </w:t>
      </w:r>
      <w:r w:rsidR="009A39FA">
        <w:rPr>
          <w:rFonts w:cs="Arial"/>
          <w:szCs w:val="22"/>
        </w:rPr>
        <w:t>con concesión,</w:t>
      </w:r>
      <w:r w:rsidRPr="00D22070">
        <w:rPr>
          <w:rFonts w:cs="Arial"/>
          <w:szCs w:val="22"/>
        </w:rPr>
        <w:t xml:space="preserve"> por lo que el volumen natural comprometido </w:t>
      </w:r>
      <w:r w:rsidR="00D549B1">
        <w:rPr>
          <w:rFonts w:cs="Arial"/>
          <w:szCs w:val="22"/>
        </w:rPr>
        <w:t>fue</w:t>
      </w:r>
      <w:r w:rsidRPr="00D22070">
        <w:rPr>
          <w:rFonts w:cs="Arial"/>
          <w:szCs w:val="22"/>
        </w:rPr>
        <w:t xml:space="preserve"> de 13.6 </w:t>
      </w:r>
      <w:r w:rsidR="009A39FA">
        <w:rPr>
          <w:rFonts w:cs="Arial"/>
          <w:szCs w:val="22"/>
        </w:rPr>
        <w:t>hm</w:t>
      </w:r>
      <w:r w:rsidR="009A39FA">
        <w:rPr>
          <w:rFonts w:cs="Arial"/>
          <w:szCs w:val="22"/>
          <w:vertAlign w:val="superscript"/>
        </w:rPr>
        <w:t>3</w:t>
      </w:r>
      <w:r w:rsidR="009A39FA">
        <w:rPr>
          <w:rFonts w:cs="Arial"/>
          <w:szCs w:val="22"/>
        </w:rPr>
        <w:t>/año</w:t>
      </w:r>
      <w:r w:rsidR="00D549B1">
        <w:rPr>
          <w:rFonts w:cs="Arial"/>
          <w:szCs w:val="22"/>
        </w:rPr>
        <w:t>. Para el caso del acuífero Libres-Oriental</w:t>
      </w:r>
      <w:r w:rsidR="009A39FA">
        <w:rPr>
          <w:rFonts w:cs="Arial"/>
          <w:szCs w:val="22"/>
        </w:rPr>
        <w:t>,</w:t>
      </w:r>
      <w:r w:rsidR="00D549B1" w:rsidRPr="00621D9A">
        <w:rPr>
          <w:rFonts w:cs="Arial"/>
          <w:szCs w:val="22"/>
        </w:rPr>
        <w:t xml:space="preserve"> se tomó como descarga natural comprometida el volumen total de la salida horizontal de agua subterránea hacia </w:t>
      </w:r>
      <w:r w:rsidR="00D549B1">
        <w:rPr>
          <w:rFonts w:cs="Arial"/>
          <w:szCs w:val="22"/>
        </w:rPr>
        <w:t xml:space="preserve">los </w:t>
      </w:r>
      <w:r w:rsidR="00D549B1" w:rsidRPr="00621D9A">
        <w:rPr>
          <w:rFonts w:cs="Arial"/>
          <w:szCs w:val="22"/>
        </w:rPr>
        <w:t>acuífero</w:t>
      </w:r>
      <w:r w:rsidR="00D549B1">
        <w:rPr>
          <w:rFonts w:cs="Arial"/>
          <w:szCs w:val="22"/>
        </w:rPr>
        <w:t>s</w:t>
      </w:r>
      <w:r w:rsidR="00D549B1" w:rsidRPr="00621D9A">
        <w:rPr>
          <w:rFonts w:cs="Arial"/>
          <w:szCs w:val="22"/>
        </w:rPr>
        <w:t xml:space="preserve"> de </w:t>
      </w:r>
      <w:r w:rsidR="00D549B1">
        <w:rPr>
          <w:rFonts w:cs="Arial"/>
          <w:szCs w:val="22"/>
        </w:rPr>
        <w:t xml:space="preserve">Valle de Tecamachalco, </w:t>
      </w:r>
      <w:proofErr w:type="spellStart"/>
      <w:r w:rsidR="00D549B1">
        <w:rPr>
          <w:rFonts w:cs="Arial"/>
          <w:szCs w:val="22"/>
        </w:rPr>
        <w:t>Pue</w:t>
      </w:r>
      <w:proofErr w:type="spellEnd"/>
      <w:r w:rsidR="00D549B1" w:rsidRPr="00621D9A">
        <w:rPr>
          <w:rFonts w:cs="Arial"/>
          <w:szCs w:val="22"/>
        </w:rPr>
        <w:t>. (</w:t>
      </w:r>
      <w:r w:rsidR="00D549B1">
        <w:rPr>
          <w:rFonts w:cs="Arial"/>
          <w:szCs w:val="22"/>
        </w:rPr>
        <w:t>1.7</w:t>
      </w:r>
      <w:r w:rsidR="00D549B1" w:rsidRPr="00621D9A">
        <w:rPr>
          <w:rFonts w:cs="Arial"/>
          <w:szCs w:val="22"/>
        </w:rPr>
        <w:t xml:space="preserve"> </w:t>
      </w:r>
      <w:r w:rsidR="009A39FA">
        <w:rPr>
          <w:rFonts w:cs="Arial"/>
          <w:szCs w:val="22"/>
        </w:rPr>
        <w:t>hm</w:t>
      </w:r>
      <w:r w:rsidR="009A39FA">
        <w:rPr>
          <w:rFonts w:cs="Arial"/>
          <w:szCs w:val="22"/>
          <w:vertAlign w:val="superscript"/>
        </w:rPr>
        <w:t>3</w:t>
      </w:r>
      <w:r w:rsidR="009A39FA">
        <w:rPr>
          <w:rFonts w:cs="Arial"/>
          <w:szCs w:val="22"/>
        </w:rPr>
        <w:t>/año</w:t>
      </w:r>
      <w:r w:rsidR="00D549B1" w:rsidRPr="00621D9A">
        <w:rPr>
          <w:rFonts w:cs="Arial"/>
          <w:szCs w:val="22"/>
        </w:rPr>
        <w:t xml:space="preserve">) y </w:t>
      </w:r>
      <w:r w:rsidR="00D549B1">
        <w:rPr>
          <w:rFonts w:cs="Arial"/>
          <w:szCs w:val="22"/>
        </w:rPr>
        <w:t>de Perote-</w:t>
      </w:r>
      <w:r w:rsidR="00106565">
        <w:rPr>
          <w:rFonts w:cs="Arial"/>
          <w:szCs w:val="22"/>
        </w:rPr>
        <w:t>Zalayeta</w:t>
      </w:r>
      <w:r w:rsidR="00D549B1">
        <w:rPr>
          <w:rFonts w:cs="Arial"/>
          <w:szCs w:val="22"/>
        </w:rPr>
        <w:t xml:space="preserve">, Ver. </w:t>
      </w:r>
      <w:r w:rsidR="00D549B1" w:rsidRPr="00621D9A">
        <w:rPr>
          <w:rFonts w:cs="Arial"/>
          <w:szCs w:val="22"/>
        </w:rPr>
        <w:t>(</w:t>
      </w:r>
      <w:r w:rsidR="00CF4CF5">
        <w:rPr>
          <w:rFonts w:cs="Arial"/>
          <w:szCs w:val="22"/>
        </w:rPr>
        <w:t xml:space="preserve">20.6 </w:t>
      </w:r>
      <w:r w:rsidR="009A39FA">
        <w:rPr>
          <w:rFonts w:cs="Arial"/>
          <w:szCs w:val="22"/>
        </w:rPr>
        <w:t>hm</w:t>
      </w:r>
      <w:r w:rsidR="009A39FA">
        <w:rPr>
          <w:rFonts w:cs="Arial"/>
          <w:szCs w:val="22"/>
          <w:vertAlign w:val="superscript"/>
        </w:rPr>
        <w:t>3</w:t>
      </w:r>
      <w:r w:rsidR="009A39FA">
        <w:rPr>
          <w:rFonts w:cs="Arial"/>
          <w:szCs w:val="22"/>
        </w:rPr>
        <w:t>/año</w:t>
      </w:r>
      <w:r w:rsidR="00D549B1" w:rsidRPr="00621D9A">
        <w:rPr>
          <w:rFonts w:cs="Arial"/>
          <w:szCs w:val="22"/>
        </w:rPr>
        <w:t>)</w:t>
      </w:r>
      <w:r w:rsidR="00D549B1">
        <w:rPr>
          <w:rFonts w:cs="Arial"/>
          <w:szCs w:val="22"/>
        </w:rPr>
        <w:t>; además</w:t>
      </w:r>
      <w:r w:rsidR="009A39FA">
        <w:rPr>
          <w:rFonts w:cs="Arial"/>
          <w:szCs w:val="22"/>
        </w:rPr>
        <w:t>,</w:t>
      </w:r>
      <w:r w:rsidR="00D549B1">
        <w:rPr>
          <w:rFonts w:cs="Arial"/>
          <w:szCs w:val="22"/>
        </w:rPr>
        <w:t xml:space="preserve"> se tiene registrado un </w:t>
      </w:r>
      <w:r w:rsidR="00D549B1" w:rsidRPr="00621D9A">
        <w:rPr>
          <w:rFonts w:cs="Arial"/>
          <w:szCs w:val="22"/>
        </w:rPr>
        <w:t xml:space="preserve">volumen </w:t>
      </w:r>
      <w:r w:rsidR="009A39FA">
        <w:rPr>
          <w:rFonts w:cs="Arial"/>
          <w:szCs w:val="22"/>
        </w:rPr>
        <w:t xml:space="preserve">concesionado en </w:t>
      </w:r>
      <w:r w:rsidR="00D549B1" w:rsidRPr="00621D9A">
        <w:rPr>
          <w:rFonts w:cs="Arial"/>
          <w:szCs w:val="22"/>
        </w:rPr>
        <w:t xml:space="preserve">manantiales </w:t>
      </w:r>
      <w:r w:rsidR="00D549B1">
        <w:rPr>
          <w:rFonts w:cs="Arial"/>
          <w:szCs w:val="22"/>
        </w:rPr>
        <w:t xml:space="preserve">de 0.75 </w:t>
      </w:r>
      <w:r w:rsidR="009A39FA">
        <w:rPr>
          <w:rFonts w:cs="Arial"/>
          <w:szCs w:val="22"/>
        </w:rPr>
        <w:t>hm</w:t>
      </w:r>
      <w:r w:rsidR="009A39FA">
        <w:rPr>
          <w:rFonts w:cs="Arial"/>
          <w:szCs w:val="22"/>
          <w:vertAlign w:val="superscript"/>
        </w:rPr>
        <w:t>3</w:t>
      </w:r>
      <w:r w:rsidR="009A39FA">
        <w:rPr>
          <w:rFonts w:cs="Arial"/>
          <w:szCs w:val="22"/>
        </w:rPr>
        <w:t>/año</w:t>
      </w:r>
      <w:r w:rsidR="00D549B1">
        <w:rPr>
          <w:rFonts w:cs="Arial"/>
          <w:szCs w:val="22"/>
        </w:rPr>
        <w:t>,</w:t>
      </w:r>
      <w:r w:rsidR="00D549B1" w:rsidRPr="00621D9A">
        <w:rPr>
          <w:rFonts w:cs="Arial"/>
          <w:szCs w:val="22"/>
        </w:rPr>
        <w:t xml:space="preserve"> </w:t>
      </w:r>
      <w:r w:rsidR="00D549B1">
        <w:rPr>
          <w:rFonts w:cs="Arial"/>
          <w:szCs w:val="22"/>
        </w:rPr>
        <w:t xml:space="preserve">y se registra una evapotranspiración media anual del nivel freático de 129.7 </w:t>
      </w:r>
      <w:r w:rsidR="009A39FA">
        <w:rPr>
          <w:rFonts w:cs="Arial"/>
          <w:szCs w:val="22"/>
        </w:rPr>
        <w:t>hm</w:t>
      </w:r>
      <w:r w:rsidR="009A39FA">
        <w:rPr>
          <w:rFonts w:cs="Arial"/>
          <w:szCs w:val="22"/>
          <w:vertAlign w:val="superscript"/>
        </w:rPr>
        <w:t>3</w:t>
      </w:r>
      <w:r w:rsidR="009A39FA">
        <w:rPr>
          <w:rFonts w:cs="Arial"/>
          <w:szCs w:val="22"/>
        </w:rPr>
        <w:t>/año</w:t>
      </w:r>
      <w:r w:rsidR="00CF4CF5">
        <w:rPr>
          <w:rFonts w:cs="Arial"/>
          <w:szCs w:val="22"/>
        </w:rPr>
        <w:t xml:space="preserve"> (en el periodo 1996-2008) -</w:t>
      </w:r>
      <w:r w:rsidR="00D549B1">
        <w:rPr>
          <w:rFonts w:cs="Arial"/>
          <w:szCs w:val="22"/>
        </w:rPr>
        <w:t xml:space="preserve"> aunque en el 2008 fue de 96.5 hm³/año</w:t>
      </w:r>
      <w:r w:rsidR="00CF4CF5">
        <w:rPr>
          <w:rFonts w:cs="Arial"/>
          <w:szCs w:val="22"/>
        </w:rPr>
        <w:t>-</w:t>
      </w:r>
      <w:r w:rsidR="00D549B1">
        <w:rPr>
          <w:rFonts w:cs="Arial"/>
          <w:szCs w:val="22"/>
        </w:rPr>
        <w:t>, de los cuales se considera como volumen comprometido para la ecología de los ecosistemas lacustres</w:t>
      </w:r>
      <w:r w:rsidR="00D549B1" w:rsidRPr="00621D9A">
        <w:rPr>
          <w:rFonts w:cs="Arial"/>
          <w:szCs w:val="22"/>
        </w:rPr>
        <w:t xml:space="preserve"> </w:t>
      </w:r>
      <w:r w:rsidR="00D549B1">
        <w:rPr>
          <w:rFonts w:cs="Arial"/>
          <w:szCs w:val="22"/>
        </w:rPr>
        <w:t xml:space="preserve">el total de la evapotranspiración promedio anual registrada en el periodo de 1996 al 2008; </w:t>
      </w:r>
      <w:r w:rsidR="00D549B1" w:rsidRPr="00621D9A">
        <w:rPr>
          <w:rFonts w:cs="Arial"/>
          <w:szCs w:val="22"/>
        </w:rPr>
        <w:t xml:space="preserve">por lo </w:t>
      </w:r>
      <w:r w:rsidR="00D549B1">
        <w:rPr>
          <w:rFonts w:cs="Arial"/>
          <w:szCs w:val="22"/>
        </w:rPr>
        <w:t xml:space="preserve">tanto, </w:t>
      </w:r>
      <w:r w:rsidR="00D549B1" w:rsidRPr="00621D9A">
        <w:rPr>
          <w:rFonts w:cs="Arial"/>
          <w:szCs w:val="22"/>
        </w:rPr>
        <w:t xml:space="preserve">el volumen natural comprometido </w:t>
      </w:r>
      <w:r w:rsidR="00D549B1">
        <w:rPr>
          <w:rFonts w:cs="Arial"/>
          <w:szCs w:val="22"/>
        </w:rPr>
        <w:t xml:space="preserve">suma un total </w:t>
      </w:r>
      <w:r w:rsidR="00D549B1" w:rsidRPr="00621D9A">
        <w:rPr>
          <w:rFonts w:cs="Arial"/>
          <w:szCs w:val="22"/>
        </w:rPr>
        <w:t xml:space="preserve">de </w:t>
      </w:r>
      <w:r w:rsidR="00D549B1">
        <w:rPr>
          <w:rFonts w:cs="Arial"/>
          <w:szCs w:val="22"/>
        </w:rPr>
        <w:t>152.8</w:t>
      </w:r>
      <w:r w:rsidR="00D549B1" w:rsidRPr="00621D9A">
        <w:rPr>
          <w:rFonts w:cs="Arial"/>
          <w:szCs w:val="22"/>
        </w:rPr>
        <w:t xml:space="preserve"> </w:t>
      </w:r>
      <w:r w:rsidR="00CF4CF5">
        <w:rPr>
          <w:rFonts w:cs="Arial"/>
          <w:szCs w:val="22"/>
        </w:rPr>
        <w:t>hm</w:t>
      </w:r>
      <w:r w:rsidR="00CF4CF5">
        <w:rPr>
          <w:rFonts w:cs="Arial"/>
          <w:szCs w:val="22"/>
          <w:vertAlign w:val="superscript"/>
        </w:rPr>
        <w:t>3</w:t>
      </w:r>
      <w:r w:rsidR="00CF4CF5">
        <w:rPr>
          <w:rFonts w:cs="Arial"/>
          <w:szCs w:val="22"/>
        </w:rPr>
        <w:t>/año</w:t>
      </w:r>
      <w:r w:rsidR="00D549B1">
        <w:rPr>
          <w:rFonts w:cs="Arial"/>
          <w:szCs w:val="22"/>
        </w:rPr>
        <w:t>.</w:t>
      </w:r>
    </w:p>
    <w:p w:rsidR="00D549B1" w:rsidRDefault="00D549B1" w:rsidP="00D549B1">
      <w:pPr>
        <w:rPr>
          <w:rFonts w:cs="Arial"/>
          <w:szCs w:val="22"/>
        </w:rPr>
      </w:pPr>
      <w:r>
        <w:rPr>
          <w:rFonts w:cs="Arial"/>
          <w:szCs w:val="22"/>
        </w:rPr>
        <w:t xml:space="preserve">Para </w:t>
      </w:r>
      <w:r w:rsidR="00CF4CF5">
        <w:rPr>
          <w:rFonts w:cs="Arial"/>
          <w:szCs w:val="22"/>
        </w:rPr>
        <w:t>el</w:t>
      </w:r>
      <w:r>
        <w:rPr>
          <w:rFonts w:cs="Arial"/>
          <w:szCs w:val="22"/>
        </w:rPr>
        <w:t xml:space="preserve"> acuífero Perote-Zalayeta </w:t>
      </w:r>
      <w:r w:rsidRPr="00621D9A">
        <w:rPr>
          <w:rFonts w:cs="Arial"/>
          <w:szCs w:val="22"/>
        </w:rPr>
        <w:t xml:space="preserve">se tomó como descarga natural comprometida </w:t>
      </w:r>
      <w:r>
        <w:rPr>
          <w:rFonts w:cs="Arial"/>
          <w:szCs w:val="22"/>
        </w:rPr>
        <w:t>únicamente la mitad d</w:t>
      </w:r>
      <w:r w:rsidRPr="00621D9A">
        <w:rPr>
          <w:rFonts w:cs="Arial"/>
          <w:szCs w:val="22"/>
        </w:rPr>
        <w:t xml:space="preserve">el volumen total de la salida horizontal de agua subterránea hacia </w:t>
      </w:r>
      <w:r>
        <w:rPr>
          <w:rFonts w:cs="Arial"/>
          <w:szCs w:val="22"/>
        </w:rPr>
        <w:t xml:space="preserve">el </w:t>
      </w:r>
      <w:r w:rsidRPr="00621D9A">
        <w:rPr>
          <w:rFonts w:cs="Arial"/>
          <w:szCs w:val="22"/>
        </w:rPr>
        <w:t xml:space="preserve">acuífero </w:t>
      </w:r>
      <w:r>
        <w:rPr>
          <w:rFonts w:cs="Arial"/>
          <w:szCs w:val="22"/>
        </w:rPr>
        <w:t xml:space="preserve">Martínez de la Torre – </w:t>
      </w:r>
      <w:proofErr w:type="spellStart"/>
      <w:r>
        <w:rPr>
          <w:rFonts w:cs="Arial"/>
          <w:szCs w:val="22"/>
        </w:rPr>
        <w:t>Nautla</w:t>
      </w:r>
      <w:proofErr w:type="spellEnd"/>
      <w:r>
        <w:rPr>
          <w:rFonts w:cs="Arial"/>
          <w:szCs w:val="22"/>
        </w:rPr>
        <w:t>, Ver., es decir, 74.9</w:t>
      </w:r>
      <w:r w:rsidRPr="00621D9A">
        <w:rPr>
          <w:rFonts w:cs="Arial"/>
          <w:szCs w:val="22"/>
        </w:rPr>
        <w:t xml:space="preserve"> </w:t>
      </w:r>
      <w:r w:rsidR="00CF4CF5">
        <w:rPr>
          <w:rFonts w:cs="Arial"/>
          <w:szCs w:val="22"/>
        </w:rPr>
        <w:t>hm</w:t>
      </w:r>
      <w:r w:rsidR="00CF4CF5">
        <w:rPr>
          <w:rFonts w:cs="Arial"/>
          <w:szCs w:val="22"/>
          <w:vertAlign w:val="superscript"/>
        </w:rPr>
        <w:t>3</w:t>
      </w:r>
      <w:r w:rsidR="00CF4CF5">
        <w:rPr>
          <w:rFonts w:cs="Arial"/>
          <w:szCs w:val="22"/>
        </w:rPr>
        <w:t>/año</w:t>
      </w:r>
      <w:r>
        <w:rPr>
          <w:rFonts w:cs="Arial"/>
          <w:szCs w:val="22"/>
        </w:rPr>
        <w:t>.</w:t>
      </w:r>
    </w:p>
    <w:p w:rsidR="00804104" w:rsidRPr="00D22070" w:rsidRDefault="00804104" w:rsidP="00804104">
      <w:pPr>
        <w:rPr>
          <w:rFonts w:cs="Arial"/>
          <w:szCs w:val="22"/>
          <w:lang w:val="es-ES_tradnl"/>
        </w:rPr>
      </w:pPr>
      <w:r w:rsidRPr="00D22070">
        <w:rPr>
          <w:rFonts w:cs="Arial"/>
          <w:szCs w:val="22"/>
          <w:lang w:val="es-ES_tradnl"/>
        </w:rPr>
        <w:t xml:space="preserve">El </w:t>
      </w:r>
      <w:r w:rsidRPr="00805711">
        <w:rPr>
          <w:rFonts w:cs="Arial"/>
          <w:i/>
          <w:szCs w:val="22"/>
          <w:lang w:val="es-ES_tradnl"/>
        </w:rPr>
        <w:t>rendimiento permanente</w:t>
      </w:r>
      <w:r w:rsidRPr="00D22070">
        <w:rPr>
          <w:rFonts w:cs="Arial"/>
          <w:szCs w:val="22"/>
          <w:lang w:val="es-ES_tradnl"/>
        </w:rPr>
        <w:t xml:space="preserve"> es la recarga total media anual menos la descarga natural comprometida. </w:t>
      </w:r>
      <w:r w:rsidR="00A37E0D">
        <w:rPr>
          <w:rFonts w:cs="Arial"/>
          <w:szCs w:val="22"/>
          <w:lang w:val="es-ES_tradnl"/>
        </w:rPr>
        <w:t>P</w:t>
      </w:r>
      <w:r w:rsidRPr="00D22070">
        <w:rPr>
          <w:rFonts w:cs="Arial"/>
          <w:szCs w:val="22"/>
          <w:lang w:val="es-ES_tradnl"/>
        </w:rPr>
        <w:t xml:space="preserve">ara el caso del acuífero Huamantla es de </w:t>
      </w:r>
      <w:r w:rsidRPr="00A37E0D">
        <w:rPr>
          <w:rFonts w:cs="Arial"/>
          <w:bCs/>
          <w:szCs w:val="22"/>
          <w:lang w:val="es-ES_tradnl"/>
        </w:rPr>
        <w:t>50.7</w:t>
      </w:r>
      <w:r w:rsidRPr="00D22070">
        <w:rPr>
          <w:rFonts w:cs="Arial"/>
          <w:b/>
          <w:bCs/>
          <w:szCs w:val="22"/>
          <w:lang w:val="es-ES_tradnl"/>
        </w:rPr>
        <w:t xml:space="preserve"> </w:t>
      </w:r>
      <w:r w:rsidR="00CF4CF5">
        <w:rPr>
          <w:rFonts w:cs="Arial"/>
          <w:szCs w:val="22"/>
        </w:rPr>
        <w:t>hm</w:t>
      </w:r>
      <w:r w:rsidR="00CF4CF5">
        <w:rPr>
          <w:rFonts w:cs="Arial"/>
          <w:szCs w:val="22"/>
          <w:vertAlign w:val="superscript"/>
        </w:rPr>
        <w:t>3</w:t>
      </w:r>
      <w:r w:rsidR="00CF4CF5">
        <w:rPr>
          <w:rFonts w:cs="Arial"/>
          <w:szCs w:val="22"/>
        </w:rPr>
        <w:t>/año</w:t>
      </w:r>
      <w:r w:rsidR="00A37E0D">
        <w:rPr>
          <w:rFonts w:cs="Arial"/>
          <w:szCs w:val="22"/>
          <w:lang w:val="es-ES_tradnl"/>
        </w:rPr>
        <w:t>, para el acuífero Libres Oriental de 153.5</w:t>
      </w:r>
      <w:r w:rsidR="00CF4CF5">
        <w:rPr>
          <w:rFonts w:cs="Arial"/>
          <w:szCs w:val="22"/>
          <w:lang w:val="es-ES_tradnl"/>
        </w:rPr>
        <w:t>,</w:t>
      </w:r>
      <w:r w:rsidR="00A37E0D">
        <w:rPr>
          <w:rFonts w:cs="Arial"/>
          <w:szCs w:val="22"/>
          <w:lang w:val="es-ES_tradnl"/>
        </w:rPr>
        <w:t xml:space="preserve"> y para el acuífero Perote-Zalayeta de 81.4 </w:t>
      </w:r>
      <w:r w:rsidR="00CF4CF5">
        <w:rPr>
          <w:rFonts w:cs="Arial"/>
          <w:szCs w:val="22"/>
        </w:rPr>
        <w:t>hm</w:t>
      </w:r>
      <w:r w:rsidR="00CF4CF5">
        <w:rPr>
          <w:rFonts w:cs="Arial"/>
          <w:szCs w:val="22"/>
          <w:vertAlign w:val="superscript"/>
        </w:rPr>
        <w:t>3</w:t>
      </w:r>
      <w:r w:rsidR="00CF4CF5">
        <w:rPr>
          <w:rFonts w:cs="Arial"/>
          <w:szCs w:val="22"/>
        </w:rPr>
        <w:t>/año</w:t>
      </w:r>
      <w:r w:rsidR="00A37E0D">
        <w:rPr>
          <w:rFonts w:cs="Arial"/>
          <w:szCs w:val="22"/>
          <w:lang w:val="es-ES_tradnl"/>
        </w:rPr>
        <w:t>.</w:t>
      </w:r>
    </w:p>
    <w:p w:rsidR="00804104" w:rsidRPr="00C66F00" w:rsidRDefault="00804104" w:rsidP="00804104">
      <w:pPr>
        <w:rPr>
          <w:rFonts w:cs="Arial"/>
          <w:szCs w:val="22"/>
          <w:lang w:val="es-ES_tradnl"/>
        </w:rPr>
      </w:pPr>
      <w:r w:rsidRPr="00D22070">
        <w:rPr>
          <w:rFonts w:cs="Arial"/>
          <w:szCs w:val="22"/>
          <w:lang w:val="es-ES_tradnl"/>
        </w:rPr>
        <w:t xml:space="preserve">El </w:t>
      </w:r>
      <w:r w:rsidRPr="00805711">
        <w:rPr>
          <w:rFonts w:cs="Arial"/>
          <w:i/>
          <w:szCs w:val="22"/>
          <w:lang w:val="es-ES_tradnl"/>
        </w:rPr>
        <w:t>volumen</w:t>
      </w:r>
      <w:r w:rsidR="00805711" w:rsidRPr="00805711">
        <w:rPr>
          <w:rFonts w:cs="Arial"/>
          <w:i/>
          <w:szCs w:val="22"/>
          <w:lang w:val="es-ES_tradnl"/>
        </w:rPr>
        <w:t xml:space="preserve"> concesionado de aguas subterráneas (VCAS)</w:t>
      </w:r>
      <w:r w:rsidRPr="00D22070">
        <w:rPr>
          <w:rFonts w:cs="Arial"/>
          <w:szCs w:val="22"/>
          <w:lang w:val="es-ES_tradnl"/>
        </w:rPr>
        <w:t>, de acuerdo con los títulos de concesión inscritos en el Registro Público de Derechos de Agua (</w:t>
      </w:r>
      <w:r w:rsidRPr="00C66F00">
        <w:rPr>
          <w:rFonts w:cs="Arial"/>
          <w:bCs/>
          <w:szCs w:val="22"/>
          <w:lang w:val="es-ES_tradnl"/>
        </w:rPr>
        <w:t>REPDA</w:t>
      </w:r>
      <w:r w:rsidRPr="00D22070">
        <w:rPr>
          <w:rFonts w:cs="Arial"/>
          <w:szCs w:val="22"/>
          <w:lang w:val="es-ES_tradnl"/>
        </w:rPr>
        <w:t xml:space="preserve">), de la Subdirección General de Administración del Agua, con fecha de corte al 31 de marzo del 2009 es de </w:t>
      </w:r>
      <w:r w:rsidRPr="00C66F00">
        <w:rPr>
          <w:rFonts w:cs="Arial"/>
          <w:bCs/>
          <w:szCs w:val="22"/>
          <w:lang w:val="es-ES_tradnl"/>
        </w:rPr>
        <w:t>53’401,466</w:t>
      </w:r>
      <w:r w:rsidRPr="00D22070">
        <w:rPr>
          <w:rFonts w:cs="Arial"/>
          <w:b/>
          <w:bCs/>
          <w:szCs w:val="22"/>
          <w:lang w:val="es-ES_tradnl"/>
        </w:rPr>
        <w:t xml:space="preserve"> </w:t>
      </w:r>
      <w:r w:rsidRPr="00D22070">
        <w:rPr>
          <w:rFonts w:cs="Arial"/>
          <w:szCs w:val="22"/>
        </w:rPr>
        <w:t>metros cúbicos</w:t>
      </w:r>
      <w:r w:rsidR="00C66F00" w:rsidRPr="00C66F00">
        <w:rPr>
          <w:rFonts w:cs="Arial"/>
          <w:bCs/>
          <w:szCs w:val="22"/>
          <w:lang w:val="es-ES_tradnl"/>
        </w:rPr>
        <w:t>, para el acuífero Huamantla; 171’637,511</w:t>
      </w:r>
      <w:r w:rsidR="00C66F00">
        <w:rPr>
          <w:rFonts w:cs="Arial"/>
          <w:bCs/>
          <w:szCs w:val="22"/>
          <w:lang w:val="es-ES_tradnl"/>
        </w:rPr>
        <w:t xml:space="preserve"> para Libres-Oriental </w:t>
      </w:r>
      <w:r w:rsidR="00C66F00" w:rsidRPr="00C66F00">
        <w:rPr>
          <w:rFonts w:cs="Arial"/>
          <w:bCs/>
          <w:szCs w:val="22"/>
          <w:lang w:val="es-ES_tradnl"/>
        </w:rPr>
        <w:t>y 22’314,133</w:t>
      </w:r>
      <w:r w:rsidR="00C66F00">
        <w:rPr>
          <w:rFonts w:cs="Arial"/>
          <w:bCs/>
          <w:szCs w:val="22"/>
          <w:lang w:val="es-ES_tradnl"/>
        </w:rPr>
        <w:t xml:space="preserve"> metros cúbicos para Perote-Zalayeta.</w:t>
      </w:r>
    </w:p>
    <w:p w:rsidR="00CF4CF5" w:rsidRDefault="00CF4CF5" w:rsidP="00CF4CF5">
      <w:pPr>
        <w:rPr>
          <w:rFonts w:cs="Arial"/>
          <w:szCs w:val="22"/>
          <w:lang w:val="es-ES_tradnl"/>
        </w:rPr>
      </w:pPr>
      <w:r>
        <w:rPr>
          <w:rFonts w:cs="Arial"/>
          <w:szCs w:val="22"/>
          <w:lang w:val="es-ES_tradnl"/>
        </w:rPr>
        <w:t xml:space="preserve">Conforme a los resultados mostrados en la </w:t>
      </w:r>
      <w:r w:rsidR="00BE2961">
        <w:rPr>
          <w:rFonts w:cs="Arial"/>
          <w:szCs w:val="22"/>
          <w:lang w:val="es-ES_tradnl"/>
        </w:rPr>
        <w:fldChar w:fldCharType="begin"/>
      </w:r>
      <w:r>
        <w:rPr>
          <w:rFonts w:cs="Arial"/>
          <w:szCs w:val="22"/>
          <w:lang w:val="es-ES_tradnl"/>
        </w:rPr>
        <w:instrText xml:space="preserve"> REF _Ref263760727 \r \h </w:instrText>
      </w:r>
      <w:r w:rsidR="00BE2961">
        <w:rPr>
          <w:rFonts w:cs="Arial"/>
          <w:szCs w:val="22"/>
          <w:lang w:val="es-ES_tradnl"/>
        </w:rPr>
      </w:r>
      <w:r w:rsidR="00BE2961">
        <w:rPr>
          <w:rFonts w:cs="Arial"/>
          <w:szCs w:val="22"/>
          <w:lang w:val="es-ES_tradnl"/>
        </w:rPr>
        <w:fldChar w:fldCharType="separate"/>
      </w:r>
      <w:r w:rsidR="001C36B4">
        <w:rPr>
          <w:rFonts w:cs="Arial"/>
          <w:szCs w:val="22"/>
          <w:lang w:val="es-ES_tradnl"/>
        </w:rPr>
        <w:t>Tabla 6.1</w:t>
      </w:r>
      <w:r w:rsidR="00BE2961">
        <w:rPr>
          <w:rFonts w:cs="Arial"/>
          <w:szCs w:val="22"/>
          <w:lang w:val="es-ES_tradnl"/>
        </w:rPr>
        <w:fldChar w:fldCharType="end"/>
      </w:r>
      <w:r>
        <w:rPr>
          <w:rFonts w:cs="Arial"/>
          <w:szCs w:val="22"/>
          <w:lang w:val="es-ES_tradnl"/>
        </w:rPr>
        <w:t xml:space="preserve">, no </w:t>
      </w:r>
      <w:r w:rsidRPr="00D22070">
        <w:rPr>
          <w:rFonts w:cs="Arial"/>
          <w:szCs w:val="22"/>
          <w:lang w:val="es-ES_tradnl"/>
        </w:rPr>
        <w:t>existe volumen disponible para</w:t>
      </w:r>
      <w:r>
        <w:rPr>
          <w:rFonts w:cs="Arial"/>
          <w:szCs w:val="22"/>
          <w:lang w:val="es-ES_tradnl"/>
        </w:rPr>
        <w:t xml:space="preserve"> otorgar nuevas concesiones en los acuíferos Huamantla y Libres-Oriental, mientras que para el acuífero Perote-Zalayeta si existe disponibilidad de aguas subterráneas para nuevas concesiones. </w:t>
      </w:r>
    </w:p>
    <w:p w:rsidR="00FC1C14" w:rsidRDefault="00FC1C14" w:rsidP="00CF4CF5">
      <w:pPr>
        <w:rPr>
          <w:rFonts w:cs="Arial"/>
          <w:szCs w:val="22"/>
          <w:lang w:val="es-ES_tradnl"/>
        </w:rPr>
      </w:pPr>
    </w:p>
    <w:p w:rsidR="00DC6E13" w:rsidRPr="00DC6E13" w:rsidRDefault="00DC6E13" w:rsidP="00E9158D">
      <w:pPr>
        <w:pStyle w:val="Tabla1cap6"/>
      </w:pPr>
      <w:bookmarkStart w:id="164" w:name="_Ref263760727"/>
      <w:r w:rsidRPr="00DC6E13">
        <w:lastRenderedPageBreak/>
        <w:t>Disponibilidad de agua subterránea en el acuífero Huamantla-Libres Oriental-Perote.</w:t>
      </w:r>
      <w:bookmarkEnd w:id="164"/>
    </w:p>
    <w:tbl>
      <w:tblPr>
        <w:tblW w:w="0" w:type="auto"/>
        <w:tblBorders>
          <w:top w:val="single" w:sz="12" w:space="0" w:color="008000"/>
          <w:bottom w:val="single" w:sz="12" w:space="0" w:color="008000"/>
        </w:tblBorders>
        <w:tblLook w:val="04A0"/>
      </w:tblPr>
      <w:tblGrid>
        <w:gridCol w:w="1965"/>
        <w:gridCol w:w="1965"/>
        <w:gridCol w:w="1966"/>
        <w:gridCol w:w="1966"/>
        <w:gridCol w:w="1966"/>
      </w:tblGrid>
      <w:tr w:rsidR="00DC6E13" w:rsidRPr="002C4B88" w:rsidTr="002C4B88">
        <w:tc>
          <w:tcPr>
            <w:tcW w:w="1965" w:type="dxa"/>
            <w:vMerge w:val="restart"/>
            <w:tcBorders>
              <w:top w:val="single" w:sz="12" w:space="0" w:color="008000"/>
              <w:bottom w:val="single" w:sz="6" w:space="0" w:color="008000"/>
            </w:tcBorders>
            <w:shd w:val="clear" w:color="auto" w:fill="auto"/>
            <w:vAlign w:val="center"/>
          </w:tcPr>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Acuífero</w:t>
            </w:r>
          </w:p>
        </w:tc>
        <w:tc>
          <w:tcPr>
            <w:tcW w:w="1965" w:type="dxa"/>
            <w:tcBorders>
              <w:top w:val="single" w:sz="12" w:space="0" w:color="008000"/>
              <w:bottom w:val="single" w:sz="6" w:space="0" w:color="008000"/>
            </w:tcBorders>
            <w:shd w:val="clear" w:color="auto" w:fill="auto"/>
            <w:vAlign w:val="center"/>
          </w:tcPr>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Recarga total media anual</w:t>
            </w:r>
          </w:p>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w:t>
            </w:r>
            <w:proofErr w:type="spellStart"/>
            <w:r w:rsidRPr="002C4B88">
              <w:rPr>
                <w:rFonts w:cs="Arial"/>
                <w:sz w:val="20"/>
                <w:lang w:val="es-ES_tradnl"/>
              </w:rPr>
              <w:t>Rt</w:t>
            </w:r>
            <w:proofErr w:type="spellEnd"/>
            <w:r w:rsidRPr="002C4B88">
              <w:rPr>
                <w:rFonts w:cs="Arial"/>
                <w:sz w:val="20"/>
                <w:lang w:val="es-ES_tradnl"/>
              </w:rPr>
              <w:t>)</w:t>
            </w:r>
          </w:p>
        </w:tc>
        <w:tc>
          <w:tcPr>
            <w:tcW w:w="1966" w:type="dxa"/>
            <w:tcBorders>
              <w:top w:val="single" w:sz="12" w:space="0" w:color="008000"/>
              <w:bottom w:val="single" w:sz="6" w:space="0" w:color="008000"/>
            </w:tcBorders>
            <w:shd w:val="clear" w:color="auto" w:fill="auto"/>
            <w:vAlign w:val="center"/>
          </w:tcPr>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Descarga natural comprometida</w:t>
            </w:r>
          </w:p>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(DNCOM)</w:t>
            </w:r>
          </w:p>
        </w:tc>
        <w:tc>
          <w:tcPr>
            <w:tcW w:w="1966" w:type="dxa"/>
            <w:tcBorders>
              <w:top w:val="single" w:sz="12" w:space="0" w:color="008000"/>
              <w:bottom w:val="single" w:sz="6" w:space="0" w:color="008000"/>
            </w:tcBorders>
            <w:shd w:val="clear" w:color="auto" w:fill="auto"/>
            <w:vAlign w:val="center"/>
          </w:tcPr>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Volumen concesionado</w:t>
            </w:r>
            <w:r w:rsidR="00617602" w:rsidRPr="002C4B88">
              <w:rPr>
                <w:rFonts w:cs="Arial"/>
                <w:sz w:val="20"/>
                <w:lang w:val="es-ES_tradnl"/>
              </w:rPr>
              <w:t>*</w:t>
            </w:r>
            <w:r w:rsidRPr="002C4B88">
              <w:rPr>
                <w:rFonts w:cs="Arial"/>
                <w:sz w:val="20"/>
                <w:lang w:val="es-ES_tradnl"/>
              </w:rPr>
              <w:t xml:space="preserve"> (VCAS)</w:t>
            </w:r>
          </w:p>
        </w:tc>
        <w:tc>
          <w:tcPr>
            <w:tcW w:w="1966" w:type="dxa"/>
            <w:tcBorders>
              <w:top w:val="single" w:sz="12" w:space="0" w:color="008000"/>
              <w:bottom w:val="single" w:sz="6" w:space="0" w:color="008000"/>
            </w:tcBorders>
            <w:shd w:val="clear" w:color="auto" w:fill="auto"/>
            <w:vAlign w:val="center"/>
          </w:tcPr>
          <w:p w:rsidR="00DC6E13" w:rsidRPr="002C4B88" w:rsidRDefault="00DC6E13" w:rsidP="00692B87">
            <w:pPr>
              <w:spacing w:line="240" w:lineRule="auto"/>
              <w:ind w:firstLine="0"/>
              <w:jc w:val="center"/>
              <w:rPr>
                <w:rFonts w:cs="Arial"/>
                <w:sz w:val="20"/>
                <w:lang w:val="es-ES_tradnl"/>
              </w:rPr>
            </w:pPr>
            <w:r w:rsidRPr="002C4B88">
              <w:rPr>
                <w:rFonts w:cs="Arial"/>
                <w:sz w:val="20"/>
                <w:lang w:val="es-ES_tradnl"/>
              </w:rPr>
              <w:t>Disponibilidad media anual (DAS)</w:t>
            </w:r>
          </w:p>
        </w:tc>
      </w:tr>
      <w:tr w:rsidR="00DC6E13" w:rsidRPr="002C4B88" w:rsidTr="002C4B88">
        <w:tc>
          <w:tcPr>
            <w:tcW w:w="1965" w:type="dxa"/>
            <w:vMerge/>
            <w:tcBorders>
              <w:bottom w:val="single" w:sz="4" w:space="0" w:color="76923C"/>
            </w:tcBorders>
            <w:shd w:val="clear" w:color="auto" w:fill="auto"/>
          </w:tcPr>
          <w:p w:rsidR="00DC6E13" w:rsidRPr="002C4B88" w:rsidRDefault="00DC6E13" w:rsidP="00692B87">
            <w:pPr>
              <w:spacing w:line="240" w:lineRule="auto"/>
              <w:ind w:firstLine="0"/>
              <w:rPr>
                <w:rFonts w:cs="Arial"/>
                <w:sz w:val="20"/>
                <w:lang w:val="es-ES_tradnl"/>
              </w:rPr>
            </w:pPr>
          </w:p>
        </w:tc>
        <w:tc>
          <w:tcPr>
            <w:tcW w:w="7863" w:type="dxa"/>
            <w:gridSpan w:val="4"/>
            <w:tcBorders>
              <w:bottom w:val="single" w:sz="4" w:space="0" w:color="76923C"/>
            </w:tcBorders>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bCs/>
                <w:sz w:val="20"/>
                <w:lang w:val="es-ES_tradnl"/>
              </w:rPr>
              <w:t>m³/año</w:t>
            </w:r>
          </w:p>
        </w:tc>
      </w:tr>
      <w:tr w:rsidR="00DC6E13" w:rsidRPr="002C4B88" w:rsidTr="002C4B88">
        <w:tc>
          <w:tcPr>
            <w:tcW w:w="1965" w:type="dxa"/>
            <w:tcBorders>
              <w:top w:val="single" w:sz="4" w:space="0" w:color="76923C"/>
            </w:tcBorders>
            <w:shd w:val="clear" w:color="auto" w:fill="auto"/>
          </w:tcPr>
          <w:p w:rsidR="00DC6E13" w:rsidRPr="002C4B88" w:rsidRDefault="00DC6E13" w:rsidP="00692B87">
            <w:pPr>
              <w:spacing w:line="240" w:lineRule="auto"/>
              <w:ind w:firstLine="0"/>
              <w:rPr>
                <w:rFonts w:cs="Arial"/>
                <w:sz w:val="20"/>
                <w:lang w:val="es-ES_tradnl"/>
              </w:rPr>
            </w:pPr>
            <w:r w:rsidRPr="002C4B88">
              <w:rPr>
                <w:rFonts w:cs="Arial"/>
                <w:sz w:val="20"/>
                <w:lang w:val="es-ES_tradnl"/>
              </w:rPr>
              <w:t>Huamantla</w:t>
            </w:r>
          </w:p>
        </w:tc>
        <w:tc>
          <w:tcPr>
            <w:tcW w:w="1965" w:type="dxa"/>
            <w:tcBorders>
              <w:top w:val="single" w:sz="4" w:space="0" w:color="76923C"/>
            </w:tcBorders>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sz w:val="20"/>
                <w:lang w:val="es-ES_tradnl"/>
              </w:rPr>
              <w:t>64,300,000</w:t>
            </w:r>
          </w:p>
        </w:tc>
        <w:tc>
          <w:tcPr>
            <w:tcW w:w="1966" w:type="dxa"/>
            <w:tcBorders>
              <w:top w:val="single" w:sz="4" w:space="0" w:color="76923C"/>
            </w:tcBorders>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sz w:val="20"/>
                <w:lang w:val="es-ES_tradnl"/>
              </w:rPr>
              <w:t>13,600,000</w:t>
            </w:r>
          </w:p>
        </w:tc>
        <w:tc>
          <w:tcPr>
            <w:tcW w:w="1966" w:type="dxa"/>
            <w:tcBorders>
              <w:top w:val="single" w:sz="4" w:space="0" w:color="76923C"/>
            </w:tcBorders>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sz w:val="20"/>
                <w:lang w:val="es-ES_tradnl"/>
              </w:rPr>
              <w:t>53,401,466</w:t>
            </w:r>
          </w:p>
        </w:tc>
        <w:tc>
          <w:tcPr>
            <w:tcW w:w="1966" w:type="dxa"/>
            <w:tcBorders>
              <w:top w:val="single" w:sz="4" w:space="0" w:color="76923C"/>
            </w:tcBorders>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sz w:val="20"/>
                <w:lang w:val="es-ES_tradnl"/>
              </w:rPr>
              <w:t>-2,701,466</w:t>
            </w:r>
          </w:p>
        </w:tc>
      </w:tr>
      <w:tr w:rsidR="00DC6E13" w:rsidRPr="002C4B88" w:rsidTr="002C4B88">
        <w:tc>
          <w:tcPr>
            <w:tcW w:w="1965" w:type="dxa"/>
            <w:shd w:val="clear" w:color="auto" w:fill="auto"/>
          </w:tcPr>
          <w:p w:rsidR="00DC6E13" w:rsidRPr="002C4B88" w:rsidRDefault="00DC6E13" w:rsidP="00692B87">
            <w:pPr>
              <w:spacing w:line="240" w:lineRule="auto"/>
              <w:ind w:firstLine="0"/>
              <w:rPr>
                <w:rFonts w:cs="Arial"/>
                <w:sz w:val="20"/>
                <w:lang w:val="es-ES_tradnl"/>
              </w:rPr>
            </w:pPr>
            <w:r w:rsidRPr="002C4B88">
              <w:rPr>
                <w:rFonts w:cs="Arial"/>
                <w:sz w:val="20"/>
                <w:lang w:val="es-ES_tradnl"/>
              </w:rPr>
              <w:t>Libres-Oriental</w:t>
            </w:r>
          </w:p>
        </w:tc>
        <w:tc>
          <w:tcPr>
            <w:tcW w:w="1965"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306,300,000</w:t>
            </w:r>
          </w:p>
        </w:tc>
        <w:tc>
          <w:tcPr>
            <w:tcW w:w="1966"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152,800,000</w:t>
            </w:r>
          </w:p>
        </w:tc>
        <w:tc>
          <w:tcPr>
            <w:tcW w:w="1966"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171,637,511</w:t>
            </w:r>
          </w:p>
        </w:tc>
        <w:tc>
          <w:tcPr>
            <w:tcW w:w="1966"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-18,137,511</w:t>
            </w:r>
          </w:p>
        </w:tc>
      </w:tr>
      <w:tr w:rsidR="00DC6E13" w:rsidRPr="002C4B88" w:rsidTr="002C4B88">
        <w:tc>
          <w:tcPr>
            <w:tcW w:w="1965" w:type="dxa"/>
            <w:shd w:val="clear" w:color="auto" w:fill="auto"/>
          </w:tcPr>
          <w:p w:rsidR="00DC6E13" w:rsidRPr="002C4B88" w:rsidRDefault="00DC6E13" w:rsidP="00692B87">
            <w:pPr>
              <w:spacing w:line="240" w:lineRule="auto"/>
              <w:ind w:firstLine="0"/>
              <w:rPr>
                <w:rFonts w:cs="Arial"/>
                <w:sz w:val="20"/>
                <w:lang w:val="es-ES_tradnl"/>
              </w:rPr>
            </w:pPr>
            <w:r w:rsidRPr="002C4B88">
              <w:rPr>
                <w:rFonts w:cs="Arial"/>
                <w:sz w:val="20"/>
                <w:lang w:val="es-ES_tradnl"/>
              </w:rPr>
              <w:t>Perote-Zalayeta</w:t>
            </w:r>
          </w:p>
        </w:tc>
        <w:tc>
          <w:tcPr>
            <w:tcW w:w="1965"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156,300,000</w:t>
            </w:r>
          </w:p>
        </w:tc>
        <w:tc>
          <w:tcPr>
            <w:tcW w:w="1966"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74,900,000</w:t>
            </w:r>
          </w:p>
        </w:tc>
        <w:tc>
          <w:tcPr>
            <w:tcW w:w="1966"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22,314,133</w:t>
            </w:r>
          </w:p>
        </w:tc>
        <w:tc>
          <w:tcPr>
            <w:tcW w:w="1966" w:type="dxa"/>
            <w:shd w:val="clear" w:color="auto" w:fill="auto"/>
          </w:tcPr>
          <w:p w:rsidR="00DC6E13" w:rsidRPr="002C4B88" w:rsidRDefault="00DC6E13" w:rsidP="00692B87">
            <w:pPr>
              <w:spacing w:line="240" w:lineRule="auto"/>
              <w:ind w:firstLine="0"/>
              <w:jc w:val="center"/>
              <w:rPr>
                <w:rFonts w:cs="Arial"/>
                <w:sz w:val="20"/>
                <w:lang w:val="es-ES_tradnl"/>
              </w:rPr>
            </w:pPr>
            <w:r w:rsidRPr="002C4B88">
              <w:rPr>
                <w:rFonts w:eastAsia="Calibri" w:cs="Arial"/>
                <w:sz w:val="20"/>
                <w:lang w:val="es-ES_tradnl"/>
              </w:rPr>
              <w:t>59,085,867</w:t>
            </w:r>
          </w:p>
        </w:tc>
      </w:tr>
    </w:tbl>
    <w:p w:rsidR="00DC6E13" w:rsidRPr="00617602" w:rsidRDefault="00617602" w:rsidP="00804104">
      <w:pPr>
        <w:rPr>
          <w:rFonts w:cs="Arial"/>
          <w:sz w:val="18"/>
          <w:szCs w:val="18"/>
          <w:lang w:val="es-ES_tradnl"/>
        </w:rPr>
      </w:pPr>
      <w:r w:rsidRPr="00617602">
        <w:rPr>
          <w:rFonts w:cs="Arial"/>
          <w:sz w:val="18"/>
          <w:szCs w:val="18"/>
          <w:lang w:val="es-ES_tradnl"/>
        </w:rPr>
        <w:t>*REPDA al 31 de marzo de 2009</w:t>
      </w:r>
    </w:p>
    <w:p w:rsidR="000F6094" w:rsidRPr="00765048" w:rsidRDefault="00765048" w:rsidP="008011C2">
      <w:pPr>
        <w:outlineLvl w:val="0"/>
        <w:rPr>
          <w:rFonts w:cs="Arial"/>
          <w:b/>
          <w:szCs w:val="22"/>
          <w:lang w:val="es-ES_tradnl"/>
        </w:rPr>
      </w:pPr>
      <w:r w:rsidRPr="00765048">
        <w:rPr>
          <w:rFonts w:cs="Arial"/>
          <w:b/>
          <w:szCs w:val="22"/>
          <w:lang w:val="es-ES_tradnl"/>
        </w:rPr>
        <w:t xml:space="preserve">Proyección de </w:t>
      </w:r>
      <w:r>
        <w:rPr>
          <w:rFonts w:cs="Arial"/>
          <w:b/>
          <w:szCs w:val="22"/>
          <w:lang w:val="es-ES_tradnl"/>
        </w:rPr>
        <w:t xml:space="preserve">disponibilidad. </w:t>
      </w:r>
      <w:r w:rsidR="000F6094" w:rsidRPr="00765048">
        <w:rPr>
          <w:rFonts w:cs="Arial"/>
          <w:b/>
          <w:szCs w:val="22"/>
          <w:lang w:val="es-ES_tradnl"/>
        </w:rPr>
        <w:t xml:space="preserve">Escenario </w:t>
      </w:r>
      <w:r w:rsidRPr="00765048">
        <w:rPr>
          <w:rFonts w:cs="Arial"/>
          <w:b/>
          <w:szCs w:val="22"/>
          <w:lang w:val="es-ES_tradnl"/>
        </w:rPr>
        <w:t>I</w:t>
      </w:r>
      <w:r w:rsidR="000F6094" w:rsidRPr="00765048">
        <w:rPr>
          <w:rFonts w:cs="Arial"/>
          <w:b/>
          <w:szCs w:val="22"/>
          <w:lang w:val="es-ES_tradnl"/>
        </w:rPr>
        <w:t>nercial</w:t>
      </w:r>
      <w:r w:rsidRPr="00765048">
        <w:rPr>
          <w:rFonts w:cs="Arial"/>
          <w:b/>
          <w:szCs w:val="22"/>
          <w:lang w:val="es-ES_tradnl"/>
        </w:rPr>
        <w:t>.</w:t>
      </w:r>
      <w:r>
        <w:rPr>
          <w:rFonts w:cs="Arial"/>
          <w:b/>
          <w:szCs w:val="22"/>
          <w:lang w:val="es-ES_tradnl"/>
        </w:rPr>
        <w:t xml:space="preserve"> </w:t>
      </w:r>
      <w:r w:rsidR="000F6094" w:rsidRPr="00765048">
        <w:rPr>
          <w:rFonts w:cs="Arial"/>
          <w:b/>
          <w:szCs w:val="22"/>
          <w:lang w:val="es-ES_tradnl"/>
        </w:rPr>
        <w:t>Acuífero Huamantla</w:t>
      </w:r>
    </w:p>
    <w:p w:rsidR="001460F4" w:rsidRDefault="00765048" w:rsidP="00804104">
      <w:pPr>
        <w:rPr>
          <w:rFonts w:cs="Arial"/>
          <w:szCs w:val="22"/>
          <w:lang w:val="es-ES_tradnl"/>
        </w:rPr>
      </w:pPr>
      <w:r>
        <w:rPr>
          <w:rFonts w:cs="Arial"/>
          <w:szCs w:val="22"/>
          <w:lang w:val="es-ES_tradnl"/>
        </w:rPr>
        <w:t>E</w:t>
      </w:r>
      <w:r w:rsidR="0097189A">
        <w:rPr>
          <w:rFonts w:cs="Arial"/>
          <w:szCs w:val="22"/>
          <w:lang w:val="es-ES_tradnl"/>
        </w:rPr>
        <w:t>l acuífero Huamantla se destaca</w:t>
      </w:r>
      <w:r>
        <w:rPr>
          <w:rFonts w:cs="Arial"/>
          <w:szCs w:val="22"/>
          <w:lang w:val="es-ES_tradnl"/>
        </w:rPr>
        <w:t xml:space="preserve"> por</w:t>
      </w:r>
      <w:r w:rsidR="0097189A">
        <w:rPr>
          <w:rFonts w:cs="Arial"/>
          <w:szCs w:val="22"/>
          <w:lang w:val="es-ES_tradnl"/>
        </w:rPr>
        <w:t xml:space="preserve"> la ausencia de ríos perennes y </w:t>
      </w:r>
      <w:r w:rsidR="00314DAD">
        <w:rPr>
          <w:rFonts w:cs="Arial"/>
          <w:szCs w:val="22"/>
          <w:lang w:val="es-ES_tradnl"/>
        </w:rPr>
        <w:t>almacenamientos significativos</w:t>
      </w:r>
      <w:r>
        <w:rPr>
          <w:rFonts w:cs="Arial"/>
          <w:szCs w:val="22"/>
          <w:lang w:val="es-ES_tradnl"/>
        </w:rPr>
        <w:t xml:space="preserve">, que como consecuencia ofrecen un escurrimiento virgen prácticamente nulo. Por su parte, </w:t>
      </w:r>
      <w:r w:rsidR="00314DAD">
        <w:rPr>
          <w:rFonts w:cs="Arial"/>
          <w:szCs w:val="22"/>
          <w:lang w:val="es-ES_tradnl"/>
        </w:rPr>
        <w:t xml:space="preserve">la oferta de agua subterránea está conformada por la recarga natural, la inducida y las descargas comprometidas, </w:t>
      </w:r>
      <w:r>
        <w:t xml:space="preserve">teniendo </w:t>
      </w:r>
      <w:r w:rsidR="00314DAD">
        <w:t>que para el año 2010 la recarga natural que recibe el acuífero de Huamantla es de 64.16 hm³, mientras que los retornos urbanos son de</w:t>
      </w:r>
      <w:r>
        <w:t>l orden de</w:t>
      </w:r>
      <w:r w:rsidR="00314DAD">
        <w:t xml:space="preserve"> 2.02 hm³ y los agrícolas de 3.94 hm³; por lo tanto</w:t>
      </w:r>
      <w:r>
        <w:t>,</w:t>
      </w:r>
      <w:r w:rsidR="00314DAD">
        <w:t xml:space="preserve"> el total de la oferta de agua subterránea aprovechable es de 64.45 hm³.</w:t>
      </w:r>
    </w:p>
    <w:p w:rsidR="001460F4" w:rsidRDefault="00314DAD" w:rsidP="00C17A7E">
      <w:r>
        <w:t xml:space="preserve">Bajo un escenario inercial se </w:t>
      </w:r>
      <w:r w:rsidR="00765048">
        <w:t>mantienen</w:t>
      </w:r>
      <w:r>
        <w:t xml:space="preserve"> las mismas eficiencias físicas en los sectores público-urbano y agrícola</w:t>
      </w:r>
      <w:r w:rsidR="00C17A7E">
        <w:t>. L</w:t>
      </w:r>
      <w:r>
        <w:t xml:space="preserve">os retornos urbanos al acuífero aumentarían gradualmente </w:t>
      </w:r>
      <w:r w:rsidR="00C17A7E">
        <w:t xml:space="preserve">al final del periodo </w:t>
      </w:r>
      <w:r w:rsidR="00765048">
        <w:t xml:space="preserve">hasta alcanzar </w:t>
      </w:r>
      <w:r w:rsidR="00C17A7E">
        <w:t>los 3.35 hm</w:t>
      </w:r>
      <w:r w:rsidR="00C17A7E">
        <w:rPr>
          <w:vertAlign w:val="superscript"/>
        </w:rPr>
        <w:t>3</w:t>
      </w:r>
      <w:r w:rsidR="00C17A7E">
        <w:t xml:space="preserve"> como consecuencia del incremento de las redes de distribución; por su parte, </w:t>
      </w:r>
      <w:r>
        <w:t xml:space="preserve">abría una ligera reducción en los retornos agrícolas, </w:t>
      </w:r>
      <w:r w:rsidR="00C17A7E">
        <w:t>por incremento moderado en</w:t>
      </w:r>
      <w:r>
        <w:t xml:space="preserve"> la eficiencia global en </w:t>
      </w:r>
      <w:r w:rsidR="00C17A7E">
        <w:t xml:space="preserve">riego (de 39.4% en 2010 </w:t>
      </w:r>
      <w:r>
        <w:t>a 45.5</w:t>
      </w:r>
      <w:r w:rsidR="00C17A7E">
        <w:t>%</w:t>
      </w:r>
      <w:r>
        <w:t xml:space="preserve"> en 2040), implica</w:t>
      </w:r>
      <w:r w:rsidR="00C17A7E">
        <w:t xml:space="preserve">ndo </w:t>
      </w:r>
      <w:r>
        <w:t>un retorno inducido de 3.63 hm³</w:t>
      </w:r>
      <w:r w:rsidR="00C17A7E">
        <w:t xml:space="preserve"> al año 2040</w:t>
      </w:r>
      <w:r>
        <w:t>. Por otro lado, la descarga natural comprometida implicaría que al aumentar gradualmente los volúmenes extraídos del acuífero estos provoquen que el espesor saturado del acuífero disminuya, principalmente en las zonas donde se verifican salidas subterráneas horizontales hacia el acuífero de Libres–Oriental, esta reducción sería gradual a lo largo de todo el periodo de planeación</w:t>
      </w:r>
      <w:r w:rsidR="00C17A7E">
        <w:t xml:space="preserve">; </w:t>
      </w:r>
      <w:r>
        <w:t>en 2010 se tiene un volumen natural comprometido de 13.5 hm³, para el 2040 sería de 12.4 hm³. Finalmente, como la recarga natural permanece constante a lo largo del periodo</w:t>
      </w:r>
      <w:r w:rsidR="00C17A7E">
        <w:t>,</w:t>
      </w:r>
      <w:r>
        <w:t xml:space="preserve"> el volumen total de oferta de agua subterránea aprovechable pasaría de 50.98 hm³ en 2010 a 52.77 hm³ en 2040.</w:t>
      </w:r>
    </w:p>
    <w:p w:rsidR="000F6094" w:rsidRDefault="000F6094" w:rsidP="00804104">
      <w:r>
        <w:t>En términos de oferta de volúmenes de agua residual con y sin tratamiento, el escenario inercial mantie</w:t>
      </w:r>
      <w:r w:rsidR="00C17A7E">
        <w:t xml:space="preserve">ne la cobertura de tratamiento de </w:t>
      </w:r>
      <w:r>
        <w:t>88.5%, por lo que al 2040 se estaría recolectando un volumen de 5.93 hm³ de aguas residuales municipales (actualmente se recolecta 3.7 hm³), por lo que al tratarse el 88.5% de esta agua se tendría un volumen producido de agua residual tratada de 5.24 hm³ (</w:t>
      </w:r>
      <w:r w:rsidR="00DD0447">
        <w:t>actualmente en el 2010 es entre 3.28 y 3.39 hm³</w:t>
      </w:r>
      <w:r>
        <w:t>)</w:t>
      </w:r>
      <w:r w:rsidR="00C17A7E">
        <w:t>,</w:t>
      </w:r>
      <w:r>
        <w:t xml:space="preserve"> y por lo tanto</w:t>
      </w:r>
      <w:r w:rsidR="00C17A7E">
        <w:t>,</w:t>
      </w:r>
      <w:r>
        <w:t xml:space="preserve"> quedaría un volumen sin tratar de aproximadamente 0.68 hm³ (</w:t>
      </w:r>
      <w:r w:rsidR="00DD0447">
        <w:t>actualmente es de entre 0.42 y 0.46 hm³</w:t>
      </w:r>
      <w:r>
        <w:t>).</w:t>
      </w:r>
    </w:p>
    <w:p w:rsidR="00351162" w:rsidRDefault="00351162" w:rsidP="00E9158D">
      <w:pPr>
        <w:pStyle w:val="Tabla1cap6"/>
      </w:pPr>
      <w:r>
        <w:lastRenderedPageBreak/>
        <w:t>Síntesis de oferta total de agua aprovechable en el acuífero Huamantla (escenario inercial)</w:t>
      </w:r>
    </w:p>
    <w:tbl>
      <w:tblPr>
        <w:tblW w:w="0" w:type="auto"/>
        <w:tblBorders>
          <w:top w:val="single" w:sz="12" w:space="0" w:color="008000"/>
          <w:bottom w:val="single" w:sz="12" w:space="0" w:color="008000"/>
        </w:tblBorders>
        <w:tblLayout w:type="fixed"/>
        <w:tblLook w:val="04A0"/>
      </w:tblPr>
      <w:tblGrid>
        <w:gridCol w:w="3085"/>
        <w:gridCol w:w="851"/>
        <w:gridCol w:w="850"/>
        <w:gridCol w:w="851"/>
        <w:gridCol w:w="850"/>
        <w:gridCol w:w="851"/>
        <w:gridCol w:w="850"/>
        <w:gridCol w:w="851"/>
        <w:gridCol w:w="850"/>
      </w:tblGrid>
      <w:tr w:rsidR="001E1D0A" w:rsidRPr="00BD0A86" w:rsidTr="00BD0A86">
        <w:tc>
          <w:tcPr>
            <w:tcW w:w="3085"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Periodo de planeación</w:t>
            </w:r>
          </w:p>
        </w:tc>
        <w:tc>
          <w:tcPr>
            <w:tcW w:w="851"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2010</w:t>
            </w:r>
          </w:p>
        </w:tc>
        <w:tc>
          <w:tcPr>
            <w:tcW w:w="850"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2011</w:t>
            </w:r>
          </w:p>
        </w:tc>
        <w:tc>
          <w:tcPr>
            <w:tcW w:w="851"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2012</w:t>
            </w:r>
          </w:p>
        </w:tc>
        <w:tc>
          <w:tcPr>
            <w:tcW w:w="850"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2018</w:t>
            </w:r>
          </w:p>
        </w:tc>
        <w:tc>
          <w:tcPr>
            <w:tcW w:w="851"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2024</w:t>
            </w:r>
          </w:p>
        </w:tc>
        <w:tc>
          <w:tcPr>
            <w:tcW w:w="850"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2030</w:t>
            </w:r>
          </w:p>
        </w:tc>
        <w:tc>
          <w:tcPr>
            <w:tcW w:w="851"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2036</w:t>
            </w:r>
          </w:p>
        </w:tc>
        <w:tc>
          <w:tcPr>
            <w:tcW w:w="850" w:type="dxa"/>
            <w:tcBorders>
              <w:bottom w:val="single" w:sz="6" w:space="0" w:color="008000"/>
            </w:tcBorders>
            <w:shd w:val="clear" w:color="auto" w:fill="auto"/>
          </w:tcPr>
          <w:p w:rsidR="001E1D0A" w:rsidRPr="00BD0A86" w:rsidRDefault="001E1D0A" w:rsidP="00F365F9">
            <w:pPr>
              <w:spacing w:after="60" w:line="240" w:lineRule="auto"/>
              <w:ind w:firstLine="0"/>
              <w:rPr>
                <w:sz w:val="20"/>
              </w:rPr>
            </w:pPr>
            <w:r w:rsidRPr="00BD0A86">
              <w:rPr>
                <w:sz w:val="20"/>
              </w:rPr>
              <w:t>2040</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 xml:space="preserve">Oferta aprovechable de agua subterránea </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50.98</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51.03</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51.09</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51.45</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51.82</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52.18</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52.5</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52.77</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rFonts w:eastAsia="Calibri"/>
                <w:sz w:val="20"/>
              </w:rPr>
              <w:t xml:space="preserve">Oferta aprovechable de agua </w:t>
            </w:r>
            <w:r w:rsidRPr="00BD0A86">
              <w:rPr>
                <w:sz w:val="20"/>
              </w:rPr>
              <w:t>superficial</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w:t>
            </w:r>
          </w:p>
        </w:tc>
      </w:tr>
      <w:tr w:rsidR="004109F4" w:rsidRPr="00BD0A86" w:rsidTr="00BD0A86">
        <w:tc>
          <w:tcPr>
            <w:tcW w:w="3085" w:type="dxa"/>
            <w:shd w:val="clear" w:color="auto" w:fill="auto"/>
          </w:tcPr>
          <w:p w:rsidR="004109F4" w:rsidRPr="00BD0A86" w:rsidRDefault="004109F4" w:rsidP="00F365F9">
            <w:pPr>
              <w:spacing w:after="60" w:line="240" w:lineRule="auto"/>
              <w:ind w:firstLine="0"/>
              <w:jc w:val="left"/>
              <w:rPr>
                <w:rFonts w:eastAsia="Calibri"/>
                <w:sz w:val="20"/>
              </w:rPr>
            </w:pPr>
            <w:r w:rsidRPr="00BD0A86">
              <w:rPr>
                <w:rFonts w:eastAsia="Calibri"/>
                <w:sz w:val="20"/>
              </w:rPr>
              <w:t>Oferta total aprovechable</w:t>
            </w:r>
          </w:p>
        </w:tc>
        <w:tc>
          <w:tcPr>
            <w:tcW w:w="851"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54.68</w:t>
            </w:r>
          </w:p>
        </w:tc>
        <w:tc>
          <w:tcPr>
            <w:tcW w:w="850"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54.81</w:t>
            </w:r>
          </w:p>
        </w:tc>
        <w:tc>
          <w:tcPr>
            <w:tcW w:w="851"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54.95</w:t>
            </w:r>
          </w:p>
        </w:tc>
        <w:tc>
          <w:tcPr>
            <w:tcW w:w="850"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55.77</w:t>
            </w:r>
          </w:p>
        </w:tc>
        <w:tc>
          <w:tcPr>
            <w:tcW w:w="851"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56.69</w:t>
            </w:r>
          </w:p>
        </w:tc>
        <w:tc>
          <w:tcPr>
            <w:tcW w:w="850"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57.40</w:t>
            </w:r>
          </w:p>
        </w:tc>
        <w:tc>
          <w:tcPr>
            <w:tcW w:w="851"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58.23</w:t>
            </w:r>
          </w:p>
        </w:tc>
        <w:tc>
          <w:tcPr>
            <w:tcW w:w="850" w:type="dxa"/>
            <w:shd w:val="clear" w:color="auto" w:fill="auto"/>
            <w:vAlign w:val="center"/>
          </w:tcPr>
          <w:p w:rsidR="004109F4" w:rsidRPr="00BD0A86" w:rsidRDefault="004109F4" w:rsidP="00F365F9">
            <w:pPr>
              <w:spacing w:after="60" w:line="240" w:lineRule="auto"/>
              <w:ind w:firstLine="0"/>
              <w:jc w:val="center"/>
              <w:rPr>
                <w:sz w:val="20"/>
              </w:rPr>
            </w:pPr>
            <w:r w:rsidRPr="00BD0A86">
              <w:rPr>
                <w:sz w:val="20"/>
              </w:rPr>
              <w:t>58.70</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Recarga natural</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58.20</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Recarga inducida</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6.28</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6.30</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6.32</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6.46</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6.61</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6.75</w:t>
            </w:r>
          </w:p>
        </w:tc>
        <w:tc>
          <w:tcPr>
            <w:tcW w:w="851"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6.90</w:t>
            </w:r>
          </w:p>
        </w:tc>
        <w:tc>
          <w:tcPr>
            <w:tcW w:w="850" w:type="dxa"/>
            <w:shd w:val="clear" w:color="auto" w:fill="auto"/>
            <w:vAlign w:val="center"/>
          </w:tcPr>
          <w:p w:rsidR="001E1D0A" w:rsidRPr="00BD0A86" w:rsidRDefault="001E1D0A" w:rsidP="00F365F9">
            <w:pPr>
              <w:spacing w:after="60" w:line="240" w:lineRule="auto"/>
              <w:ind w:firstLine="0"/>
              <w:jc w:val="center"/>
              <w:rPr>
                <w:sz w:val="20"/>
              </w:rPr>
            </w:pPr>
            <w:r w:rsidRPr="00BD0A86">
              <w:rPr>
                <w:sz w:val="20"/>
              </w:rPr>
              <w:t>6.97</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Volumen comprometido</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--13.50</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-13.47</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-13.43</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-13.21</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-12.99</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-12.77</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-12.55</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-12.40</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Retorno urbano</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2.09</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2.13</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2.18</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2.44</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2.70</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2.95</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3.21</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3.35</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Retornos agrícolas</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4.19</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4.17</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4.15</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4.03</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3.91</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3.80</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3.69</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3.63</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Agua residual urbana recolectada</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3.70</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3.78</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3.85</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4.31</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4.77</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5.22</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5.68</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5.93</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Agua residual tratada producida</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3.28</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3.34</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3.41</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3.82</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4.23</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4.62</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5.03</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5.24</w:t>
            </w:r>
          </w:p>
        </w:tc>
      </w:tr>
      <w:tr w:rsidR="001E1D0A" w:rsidRPr="00BD0A86" w:rsidTr="00BD0A86">
        <w:tc>
          <w:tcPr>
            <w:tcW w:w="3085" w:type="dxa"/>
            <w:shd w:val="clear" w:color="auto" w:fill="auto"/>
          </w:tcPr>
          <w:p w:rsidR="001E1D0A" w:rsidRPr="00BD0A86" w:rsidRDefault="001E1D0A" w:rsidP="00F365F9">
            <w:pPr>
              <w:spacing w:after="60" w:line="240" w:lineRule="auto"/>
              <w:ind w:firstLine="0"/>
              <w:jc w:val="left"/>
              <w:rPr>
                <w:sz w:val="20"/>
              </w:rPr>
            </w:pPr>
            <w:r w:rsidRPr="00BD0A86">
              <w:rPr>
                <w:sz w:val="20"/>
              </w:rPr>
              <w:t>Agua residual urbana sin tratar</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0.42</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0.43</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0.44</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0.50</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0.55</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0.60</w:t>
            </w:r>
          </w:p>
        </w:tc>
        <w:tc>
          <w:tcPr>
            <w:tcW w:w="851"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0.65</w:t>
            </w:r>
          </w:p>
        </w:tc>
        <w:tc>
          <w:tcPr>
            <w:tcW w:w="850" w:type="dxa"/>
            <w:shd w:val="clear" w:color="auto" w:fill="auto"/>
            <w:vAlign w:val="center"/>
          </w:tcPr>
          <w:p w:rsidR="001E1D0A" w:rsidRPr="00BD0A86" w:rsidRDefault="00351162" w:rsidP="00F365F9">
            <w:pPr>
              <w:spacing w:after="60" w:line="240" w:lineRule="auto"/>
              <w:ind w:firstLine="0"/>
              <w:jc w:val="center"/>
              <w:rPr>
                <w:sz w:val="20"/>
              </w:rPr>
            </w:pPr>
            <w:r w:rsidRPr="00BD0A86">
              <w:rPr>
                <w:sz w:val="20"/>
              </w:rPr>
              <w:t>0.68</w:t>
            </w:r>
          </w:p>
        </w:tc>
      </w:tr>
    </w:tbl>
    <w:p w:rsidR="000F6094" w:rsidRDefault="00C17A7E" w:rsidP="000F6094">
      <w:r>
        <w:t>A</w:t>
      </w:r>
      <w:r w:rsidR="000F6094">
        <w:t xml:space="preserve">l sumar los cuatro diferentes tipos de agua que se presentan como fuentes potenciales de oferta se obtiene  un volumen total al año 2040 de 58.70 hm³, (en el 2010 es de 54.68), tal incremento es consecuencia del aumento en la recarga inducida que se presenta en las localidades urbanas -principalmente en la ciudad de Huamantla- y el </w:t>
      </w:r>
      <w:r w:rsidR="000359B7">
        <w:t>aumento</w:t>
      </w:r>
      <w:r w:rsidR="000F6094">
        <w:t xml:space="preserve"> en el agua residual recolectada y tratada. </w:t>
      </w:r>
    </w:p>
    <w:p w:rsidR="00E04F55" w:rsidRPr="00277338" w:rsidRDefault="00277338" w:rsidP="00E04F55">
      <w:pPr>
        <w:rPr>
          <w:rFonts w:cs="Arial"/>
          <w:b/>
          <w:szCs w:val="22"/>
          <w:lang w:val="es-ES_tradnl"/>
        </w:rPr>
      </w:pPr>
      <w:r>
        <w:rPr>
          <w:rFonts w:cs="Arial"/>
          <w:b/>
          <w:szCs w:val="22"/>
          <w:lang w:val="es-ES_tradnl"/>
        </w:rPr>
        <w:t>Proyección de disponibilidad. Escenario de Máxima T</w:t>
      </w:r>
      <w:r w:rsidR="00E04F55" w:rsidRPr="00277338">
        <w:rPr>
          <w:rFonts w:cs="Arial"/>
          <w:b/>
          <w:szCs w:val="22"/>
          <w:lang w:val="es-ES_tradnl"/>
        </w:rPr>
        <w:t>ecnificación (</w:t>
      </w:r>
      <w:r>
        <w:rPr>
          <w:rFonts w:cs="Arial"/>
          <w:b/>
          <w:szCs w:val="22"/>
          <w:lang w:val="es-ES_tradnl"/>
        </w:rPr>
        <w:t>S</w:t>
      </w:r>
      <w:r w:rsidR="00E04F55" w:rsidRPr="00277338">
        <w:rPr>
          <w:rFonts w:cs="Arial"/>
          <w:b/>
          <w:szCs w:val="22"/>
          <w:lang w:val="es-ES_tradnl"/>
        </w:rPr>
        <w:t>ustentable)</w:t>
      </w:r>
      <w:r>
        <w:rPr>
          <w:rFonts w:cs="Arial"/>
          <w:b/>
          <w:szCs w:val="22"/>
          <w:lang w:val="es-ES_tradnl"/>
        </w:rPr>
        <w:t>.</w:t>
      </w:r>
      <w:r w:rsidR="00E04F55" w:rsidRPr="00277338">
        <w:rPr>
          <w:rFonts w:cs="Arial"/>
          <w:b/>
          <w:szCs w:val="22"/>
          <w:lang w:val="es-ES_tradnl"/>
        </w:rPr>
        <w:t xml:space="preserve"> Acuífero Huamantla</w:t>
      </w:r>
    </w:p>
    <w:p w:rsidR="00E04F55" w:rsidRPr="00E04F55" w:rsidRDefault="00277338" w:rsidP="00E04F55">
      <w:pPr>
        <w:rPr>
          <w:rFonts w:cs="Arial"/>
          <w:szCs w:val="22"/>
        </w:rPr>
      </w:pPr>
      <w:r>
        <w:rPr>
          <w:rFonts w:cs="Arial"/>
          <w:szCs w:val="22"/>
        </w:rPr>
        <w:t xml:space="preserve">Se parte </w:t>
      </w:r>
      <w:r w:rsidR="00E04F55">
        <w:rPr>
          <w:rFonts w:cs="Arial"/>
          <w:szCs w:val="22"/>
        </w:rPr>
        <w:t xml:space="preserve">de un escenario inicial </w:t>
      </w:r>
      <w:r>
        <w:rPr>
          <w:rFonts w:cs="Arial"/>
          <w:szCs w:val="22"/>
        </w:rPr>
        <w:t>con</w:t>
      </w:r>
      <w:r w:rsidR="00E04F55">
        <w:rPr>
          <w:rFonts w:cs="Arial"/>
          <w:szCs w:val="22"/>
        </w:rPr>
        <w:t xml:space="preserve"> una recarga natural de </w:t>
      </w:r>
      <w:r w:rsidR="00E04F55">
        <w:t>64.16 hm³, retornos urbanos de 2</w:t>
      </w:r>
      <w:r>
        <w:t>.02 hm³ y agrícolas de 3.94 hm³</w:t>
      </w:r>
      <w:r w:rsidR="006E73A6">
        <w:t>, y una oferta de agua de 64.45 hm</w:t>
      </w:r>
      <w:r w:rsidR="006E73A6">
        <w:rPr>
          <w:vertAlign w:val="superscript"/>
        </w:rPr>
        <w:t>3</w:t>
      </w:r>
      <w:r w:rsidR="006E73A6">
        <w:t>/año</w:t>
      </w:r>
      <w:r>
        <w:t>. E</w:t>
      </w:r>
      <w:r w:rsidR="00E04F55">
        <w:t>n un escenario sustentable</w:t>
      </w:r>
      <w:r>
        <w:t>,</w:t>
      </w:r>
      <w:r w:rsidR="00E04F55">
        <w:rPr>
          <w:rFonts w:cs="Arial"/>
          <w:szCs w:val="22"/>
        </w:rPr>
        <w:t xml:space="preserve"> </w:t>
      </w:r>
      <w:r w:rsidR="00E04F55">
        <w:t>en donde se incrementan las eficiencias físicas tanto en los sistemas de agua potable (</w:t>
      </w:r>
      <w:r>
        <w:t>reducción</w:t>
      </w:r>
      <w:r w:rsidR="00E04F55">
        <w:t xml:space="preserve"> de pérd</w:t>
      </w:r>
      <w:r>
        <w:t>idas físicas al 20% en el 2040)</w:t>
      </w:r>
      <w:r w:rsidR="00E04F55">
        <w:t xml:space="preserve"> como en l</w:t>
      </w:r>
      <w:r>
        <w:t>os sistemas de riego (incremento de</w:t>
      </w:r>
      <w:r w:rsidR="00E04F55">
        <w:t xml:space="preserve"> eficiencia global del riego en 80.8%)</w:t>
      </w:r>
      <w:r>
        <w:t xml:space="preserve"> y además se reduce</w:t>
      </w:r>
      <w:r w:rsidR="00E04F55">
        <w:t xml:space="preserve"> la superficie agrícola en un 28.6%, los retornos urbanos al acuífero se reducirían gradualmente de 2.02 h</w:t>
      </w:r>
      <w:r>
        <w:t xml:space="preserve">m³ en 2010 a 1.69 hm³ en 2040, </w:t>
      </w:r>
      <w:r w:rsidR="006E73A6">
        <w:t>mientras que los</w:t>
      </w:r>
      <w:r w:rsidR="008D532C">
        <w:t xml:space="preserve"> retornos a</w:t>
      </w:r>
      <w:r w:rsidR="00E04F55">
        <w:t>grícolas</w:t>
      </w:r>
      <w:r>
        <w:t xml:space="preserve"> l</w:t>
      </w:r>
      <w:r w:rsidR="006E73A6">
        <w:t>legarían</w:t>
      </w:r>
      <w:r>
        <w:t xml:space="preserve"> a </w:t>
      </w:r>
      <w:r w:rsidR="00E04F55">
        <w:t xml:space="preserve">1.46 hm³. </w:t>
      </w:r>
      <w:r w:rsidR="006E73A6">
        <w:t>L</w:t>
      </w:r>
      <w:r w:rsidR="00E04F55">
        <w:t xml:space="preserve">a recarga natural comprometida </w:t>
      </w:r>
      <w:r w:rsidR="006E73A6">
        <w:t>que en 2010 es de 13.6 hm³</w:t>
      </w:r>
      <w:r w:rsidR="00E04F55">
        <w:t xml:space="preserve"> se estima que</w:t>
      </w:r>
      <w:r w:rsidR="006E73A6">
        <w:t xml:space="preserve"> permanece sin cambio ya que </w:t>
      </w:r>
      <w:r w:rsidR="00E04F55">
        <w:t>las salidas horizontales se mantendrían constantes</w:t>
      </w:r>
      <w:r w:rsidR="006E73A6">
        <w:t xml:space="preserve">, ocasionando que </w:t>
      </w:r>
      <w:r w:rsidR="00E04F55">
        <w:t>el volumen total de oferta de agua subterránea aprovechable pas</w:t>
      </w:r>
      <w:r w:rsidR="006E73A6">
        <w:t>e</w:t>
      </w:r>
      <w:r w:rsidR="00E04F55">
        <w:t xml:space="preserve"> de 50.6 hm³ en 2010 a 47.8 hm³ en 2040</w:t>
      </w:r>
      <w:r w:rsidR="006E73A6">
        <w:t>. L</w:t>
      </w:r>
      <w:r w:rsidR="00E04F55">
        <w:t>a reducción se debe básicamente al decremento en la recarga inducida como consecuencia de la máxima tecnificación en el riego y en el mejoramiento de las eficiencias de los sistemas de agua potable de las localidades urbanas.</w:t>
      </w:r>
    </w:p>
    <w:p w:rsidR="001460F4" w:rsidRDefault="00E04F55" w:rsidP="00804104">
      <w:r>
        <w:rPr>
          <w:rFonts w:cs="Arial"/>
          <w:szCs w:val="22"/>
        </w:rPr>
        <w:t xml:space="preserve">Con respecto a los volúmenes de agua residual con y sin tratamiento, </w:t>
      </w:r>
      <w:r w:rsidR="00DD0447">
        <w:rPr>
          <w:rFonts w:cs="Arial"/>
          <w:szCs w:val="22"/>
        </w:rPr>
        <w:t xml:space="preserve">en un escenario sustentable el porcentaje de tratamiento se incrementa de un 88.5% a un 95% recolectándose al </w:t>
      </w:r>
      <w:r w:rsidR="00DD0447">
        <w:rPr>
          <w:rFonts w:cs="Arial"/>
          <w:szCs w:val="22"/>
        </w:rPr>
        <w:lastRenderedPageBreak/>
        <w:t xml:space="preserve">año 2040 </w:t>
      </w:r>
      <w:r w:rsidR="00DD0447">
        <w:t xml:space="preserve">un volumen de 9.85 hm³ de aguas residuales municipales, por lo que al incrementarse el tratamiento se produciría un volumen de agua residual tratada de 8.12 hm³  y por lo tanto quedaría un volumen sin tratar de aproximadamente </w:t>
      </w:r>
      <w:r w:rsidR="008D532C">
        <w:t>1</w:t>
      </w:r>
      <w:r w:rsidR="00DD0447">
        <w:t>.72 hm³.</w:t>
      </w:r>
    </w:p>
    <w:p w:rsidR="00351162" w:rsidRDefault="00351162" w:rsidP="00E9158D">
      <w:pPr>
        <w:pStyle w:val="Tabla1cap6"/>
      </w:pPr>
      <w:r>
        <w:t>Síntesis de oferta total de agua aprovechable en el acuífero Huamantla (escenario sustentable)</w:t>
      </w:r>
    </w:p>
    <w:tbl>
      <w:tblPr>
        <w:tblW w:w="0" w:type="auto"/>
        <w:tblBorders>
          <w:top w:val="single" w:sz="12" w:space="0" w:color="008000"/>
          <w:bottom w:val="single" w:sz="12" w:space="0" w:color="008000"/>
        </w:tblBorders>
        <w:tblLayout w:type="fixed"/>
        <w:tblLook w:val="04A0"/>
      </w:tblPr>
      <w:tblGrid>
        <w:gridCol w:w="3085"/>
        <w:gridCol w:w="851"/>
        <w:gridCol w:w="850"/>
        <w:gridCol w:w="851"/>
        <w:gridCol w:w="850"/>
        <w:gridCol w:w="851"/>
        <w:gridCol w:w="850"/>
        <w:gridCol w:w="851"/>
        <w:gridCol w:w="850"/>
      </w:tblGrid>
      <w:tr w:rsidR="00351162" w:rsidRPr="00BD0A86" w:rsidTr="00BD0A86">
        <w:tc>
          <w:tcPr>
            <w:tcW w:w="3085" w:type="dxa"/>
            <w:tcBorders>
              <w:bottom w:val="single" w:sz="6" w:space="0" w:color="008000"/>
            </w:tcBorders>
            <w:shd w:val="clear" w:color="auto" w:fill="auto"/>
          </w:tcPr>
          <w:p w:rsidR="00351162" w:rsidRPr="00BD0A86" w:rsidRDefault="00351162" w:rsidP="00F365F9">
            <w:pPr>
              <w:spacing w:after="60" w:line="240" w:lineRule="auto"/>
              <w:ind w:firstLine="0"/>
              <w:rPr>
                <w:sz w:val="20"/>
              </w:rPr>
            </w:pPr>
            <w:r w:rsidRPr="00BD0A86">
              <w:rPr>
                <w:sz w:val="20"/>
              </w:rPr>
              <w:t>Periodo de Planeación</w:t>
            </w:r>
          </w:p>
        </w:tc>
        <w:tc>
          <w:tcPr>
            <w:tcW w:w="851"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2010</w:t>
            </w:r>
          </w:p>
        </w:tc>
        <w:tc>
          <w:tcPr>
            <w:tcW w:w="850"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2011</w:t>
            </w:r>
          </w:p>
        </w:tc>
        <w:tc>
          <w:tcPr>
            <w:tcW w:w="851"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2012</w:t>
            </w:r>
          </w:p>
        </w:tc>
        <w:tc>
          <w:tcPr>
            <w:tcW w:w="850"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2018</w:t>
            </w:r>
          </w:p>
        </w:tc>
        <w:tc>
          <w:tcPr>
            <w:tcW w:w="851"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2024</w:t>
            </w:r>
          </w:p>
        </w:tc>
        <w:tc>
          <w:tcPr>
            <w:tcW w:w="850"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2030</w:t>
            </w:r>
          </w:p>
        </w:tc>
        <w:tc>
          <w:tcPr>
            <w:tcW w:w="851"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2036</w:t>
            </w:r>
          </w:p>
        </w:tc>
        <w:tc>
          <w:tcPr>
            <w:tcW w:w="850" w:type="dxa"/>
            <w:tcBorders>
              <w:bottom w:val="single" w:sz="6" w:space="0" w:color="008000"/>
            </w:tcBorders>
            <w:shd w:val="clear" w:color="auto" w:fill="auto"/>
          </w:tcPr>
          <w:p w:rsidR="00351162" w:rsidRPr="00BD0A86" w:rsidRDefault="00351162" w:rsidP="00F365F9">
            <w:pPr>
              <w:spacing w:after="60" w:line="240" w:lineRule="auto"/>
              <w:ind w:firstLine="0"/>
              <w:jc w:val="center"/>
              <w:rPr>
                <w:sz w:val="20"/>
              </w:rPr>
            </w:pPr>
            <w:r w:rsidRPr="00BD0A86">
              <w:rPr>
                <w:sz w:val="20"/>
              </w:rPr>
              <w:t>2040</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 xml:space="preserve">Oferta aprovechable de agua subterránea </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50.58</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50.45</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50.33</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49.66</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49.08</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48.57</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48.09</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47.77</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rFonts w:eastAsia="Calibri"/>
                <w:sz w:val="20"/>
              </w:rPr>
              <w:t xml:space="preserve">Oferta aprovechable de agua </w:t>
            </w:r>
            <w:r w:rsidRPr="00BD0A86">
              <w:rPr>
                <w:sz w:val="20"/>
              </w:rPr>
              <w:t>superficial</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w:t>
            </w:r>
          </w:p>
        </w:tc>
      </w:tr>
      <w:tr w:rsidR="004109F4" w:rsidRPr="00BD0A86" w:rsidTr="00BD0A86">
        <w:tc>
          <w:tcPr>
            <w:tcW w:w="3085" w:type="dxa"/>
            <w:shd w:val="clear" w:color="auto" w:fill="auto"/>
          </w:tcPr>
          <w:p w:rsidR="004109F4" w:rsidRPr="00BD0A86" w:rsidRDefault="004109F4" w:rsidP="00F365F9">
            <w:pPr>
              <w:spacing w:after="60" w:line="240" w:lineRule="auto"/>
              <w:ind w:firstLine="0"/>
              <w:jc w:val="left"/>
              <w:rPr>
                <w:rFonts w:eastAsia="Calibri"/>
                <w:sz w:val="20"/>
              </w:rPr>
            </w:pPr>
            <w:r w:rsidRPr="00BD0A86">
              <w:rPr>
                <w:rFonts w:eastAsia="Calibri"/>
                <w:sz w:val="20"/>
              </w:rPr>
              <w:t>Oferta total aprovechable</w:t>
            </w:r>
          </w:p>
        </w:tc>
        <w:tc>
          <w:tcPr>
            <w:tcW w:w="851"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54.43</w:t>
            </w:r>
          </w:p>
        </w:tc>
        <w:tc>
          <w:tcPr>
            <w:tcW w:w="850"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54.45</w:t>
            </w:r>
          </w:p>
        </w:tc>
        <w:tc>
          <w:tcPr>
            <w:tcW w:w="851"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54.48</w:t>
            </w:r>
          </w:p>
        </w:tc>
        <w:tc>
          <w:tcPr>
            <w:tcW w:w="850"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54.82</w:t>
            </w:r>
          </w:p>
        </w:tc>
        <w:tc>
          <w:tcPr>
            <w:tcW w:w="851"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55.38</w:t>
            </w:r>
          </w:p>
        </w:tc>
        <w:tc>
          <w:tcPr>
            <w:tcW w:w="850"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56.11</w:t>
            </w:r>
          </w:p>
        </w:tc>
        <w:tc>
          <w:tcPr>
            <w:tcW w:w="851"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57.03</w:t>
            </w:r>
          </w:p>
        </w:tc>
        <w:tc>
          <w:tcPr>
            <w:tcW w:w="850" w:type="dxa"/>
            <w:shd w:val="clear" w:color="auto" w:fill="auto"/>
            <w:vAlign w:val="center"/>
          </w:tcPr>
          <w:p w:rsidR="004109F4" w:rsidRPr="00BD0A86" w:rsidRDefault="00F207E3" w:rsidP="00F365F9">
            <w:pPr>
              <w:spacing w:after="60" w:line="240" w:lineRule="auto"/>
              <w:ind w:firstLine="0"/>
              <w:jc w:val="center"/>
              <w:rPr>
                <w:sz w:val="20"/>
              </w:rPr>
            </w:pPr>
            <w:r w:rsidRPr="00BD0A86">
              <w:rPr>
                <w:sz w:val="20"/>
              </w:rPr>
              <w:t>57.62</w:t>
            </w:r>
          </w:p>
        </w:tc>
      </w:tr>
      <w:tr w:rsidR="00F207E3" w:rsidRPr="00BD0A86" w:rsidTr="00BD0A86">
        <w:tc>
          <w:tcPr>
            <w:tcW w:w="3085" w:type="dxa"/>
            <w:shd w:val="clear" w:color="auto" w:fill="auto"/>
          </w:tcPr>
          <w:p w:rsidR="00F207E3" w:rsidRPr="00BD0A86" w:rsidRDefault="00F207E3" w:rsidP="00F365F9">
            <w:pPr>
              <w:spacing w:after="60" w:line="240" w:lineRule="auto"/>
              <w:ind w:firstLine="0"/>
              <w:jc w:val="left"/>
              <w:rPr>
                <w:sz w:val="20"/>
              </w:rPr>
            </w:pPr>
            <w:r w:rsidRPr="00BD0A86">
              <w:rPr>
                <w:sz w:val="20"/>
              </w:rPr>
              <w:t>Recarga natural</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58.20</w:t>
            </w:r>
          </w:p>
        </w:tc>
        <w:tc>
          <w:tcPr>
            <w:tcW w:w="850" w:type="dxa"/>
            <w:shd w:val="clear" w:color="auto" w:fill="auto"/>
          </w:tcPr>
          <w:p w:rsidR="00F207E3" w:rsidRDefault="00F207E3" w:rsidP="00F365F9">
            <w:pPr>
              <w:spacing w:after="60" w:line="240" w:lineRule="auto"/>
              <w:ind w:firstLine="0"/>
            </w:pPr>
            <w:r w:rsidRPr="00BD0A86">
              <w:rPr>
                <w:sz w:val="20"/>
              </w:rPr>
              <w:t>58.20</w:t>
            </w:r>
          </w:p>
        </w:tc>
        <w:tc>
          <w:tcPr>
            <w:tcW w:w="851" w:type="dxa"/>
            <w:shd w:val="clear" w:color="auto" w:fill="auto"/>
          </w:tcPr>
          <w:p w:rsidR="00F207E3" w:rsidRDefault="00F207E3" w:rsidP="00F365F9">
            <w:pPr>
              <w:spacing w:after="60" w:line="240" w:lineRule="auto"/>
              <w:ind w:firstLine="0"/>
            </w:pPr>
            <w:r w:rsidRPr="00BD0A86">
              <w:rPr>
                <w:sz w:val="20"/>
              </w:rPr>
              <w:t>58.20</w:t>
            </w:r>
          </w:p>
        </w:tc>
        <w:tc>
          <w:tcPr>
            <w:tcW w:w="850" w:type="dxa"/>
            <w:shd w:val="clear" w:color="auto" w:fill="auto"/>
          </w:tcPr>
          <w:p w:rsidR="00F207E3" w:rsidRDefault="00F207E3" w:rsidP="00F365F9">
            <w:pPr>
              <w:spacing w:after="60" w:line="240" w:lineRule="auto"/>
              <w:ind w:firstLine="0"/>
            </w:pPr>
            <w:r w:rsidRPr="00BD0A86">
              <w:rPr>
                <w:sz w:val="20"/>
              </w:rPr>
              <w:t>58.20</w:t>
            </w:r>
          </w:p>
        </w:tc>
        <w:tc>
          <w:tcPr>
            <w:tcW w:w="851" w:type="dxa"/>
            <w:shd w:val="clear" w:color="auto" w:fill="auto"/>
          </w:tcPr>
          <w:p w:rsidR="00F207E3" w:rsidRDefault="00F207E3" w:rsidP="00F365F9">
            <w:pPr>
              <w:spacing w:after="60" w:line="240" w:lineRule="auto"/>
              <w:ind w:firstLine="0"/>
            </w:pPr>
            <w:r w:rsidRPr="00BD0A86">
              <w:rPr>
                <w:sz w:val="20"/>
              </w:rPr>
              <w:t>58.20</w:t>
            </w:r>
          </w:p>
        </w:tc>
        <w:tc>
          <w:tcPr>
            <w:tcW w:w="850" w:type="dxa"/>
            <w:shd w:val="clear" w:color="auto" w:fill="auto"/>
          </w:tcPr>
          <w:p w:rsidR="00F207E3" w:rsidRDefault="00F207E3" w:rsidP="00F365F9">
            <w:pPr>
              <w:spacing w:after="60" w:line="240" w:lineRule="auto"/>
              <w:ind w:firstLine="0"/>
            </w:pPr>
            <w:r w:rsidRPr="00BD0A86">
              <w:rPr>
                <w:sz w:val="20"/>
              </w:rPr>
              <w:t>58.20</w:t>
            </w:r>
          </w:p>
        </w:tc>
        <w:tc>
          <w:tcPr>
            <w:tcW w:w="851" w:type="dxa"/>
            <w:shd w:val="clear" w:color="auto" w:fill="auto"/>
          </w:tcPr>
          <w:p w:rsidR="00F207E3" w:rsidRDefault="00F207E3" w:rsidP="00F365F9">
            <w:pPr>
              <w:spacing w:after="60" w:line="240" w:lineRule="auto"/>
              <w:ind w:firstLine="0"/>
            </w:pPr>
            <w:r w:rsidRPr="00BD0A86">
              <w:rPr>
                <w:sz w:val="20"/>
              </w:rPr>
              <w:t>58.20</w:t>
            </w:r>
          </w:p>
        </w:tc>
        <w:tc>
          <w:tcPr>
            <w:tcW w:w="850" w:type="dxa"/>
            <w:shd w:val="clear" w:color="auto" w:fill="auto"/>
          </w:tcPr>
          <w:p w:rsidR="00F207E3" w:rsidRDefault="00F207E3" w:rsidP="00F365F9">
            <w:pPr>
              <w:spacing w:after="60" w:line="240" w:lineRule="auto"/>
              <w:ind w:firstLine="0"/>
            </w:pPr>
            <w:r w:rsidRPr="00BD0A86">
              <w:rPr>
                <w:sz w:val="20"/>
              </w:rPr>
              <w:t>58.20</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Recarga inducida</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5.96</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5.83</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5.70</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5.03</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4.46</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3.94</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3.47</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3.15</w:t>
            </w:r>
          </w:p>
        </w:tc>
      </w:tr>
      <w:tr w:rsidR="00F207E3" w:rsidRPr="00BD0A86" w:rsidTr="00BD0A86">
        <w:tc>
          <w:tcPr>
            <w:tcW w:w="3085" w:type="dxa"/>
            <w:shd w:val="clear" w:color="auto" w:fill="auto"/>
          </w:tcPr>
          <w:p w:rsidR="00F207E3" w:rsidRPr="00BD0A86" w:rsidRDefault="00F207E3" w:rsidP="00F365F9">
            <w:pPr>
              <w:spacing w:after="60" w:line="240" w:lineRule="auto"/>
              <w:ind w:firstLine="0"/>
              <w:jc w:val="left"/>
              <w:rPr>
                <w:sz w:val="20"/>
              </w:rPr>
            </w:pPr>
            <w:r w:rsidRPr="00BD0A86">
              <w:rPr>
                <w:sz w:val="20"/>
              </w:rPr>
              <w:t>Volumen comprometido</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-13.58</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Retorno urbano</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2.02</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2.03</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2.04</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2.05</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2.02</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1.94</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1.81</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1.69</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Retornos agrícolas</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3.94</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3.80</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3.67</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2.98</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2.44</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2.01</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1.66</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1.46</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Agua residual urbana recolectada</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3.84</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3.52</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3.65</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4.48</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5.39</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6.37</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7.44</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8.12</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Agua residual tratada producida</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3.39</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3.52</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3.65</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4.48</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5.39</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6.37</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7.44</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8.12</w:t>
            </w:r>
          </w:p>
        </w:tc>
      </w:tr>
      <w:tr w:rsidR="00351162" w:rsidRPr="00BD0A86" w:rsidTr="00BD0A86">
        <w:tc>
          <w:tcPr>
            <w:tcW w:w="3085" w:type="dxa"/>
            <w:shd w:val="clear" w:color="auto" w:fill="auto"/>
          </w:tcPr>
          <w:p w:rsidR="00351162" w:rsidRPr="00BD0A86" w:rsidRDefault="00351162" w:rsidP="00F365F9">
            <w:pPr>
              <w:spacing w:after="60" w:line="240" w:lineRule="auto"/>
              <w:ind w:firstLine="0"/>
              <w:jc w:val="left"/>
              <w:rPr>
                <w:sz w:val="20"/>
              </w:rPr>
            </w:pPr>
            <w:r w:rsidRPr="00BD0A86">
              <w:rPr>
                <w:sz w:val="20"/>
              </w:rPr>
              <w:t>Agua residual urbana sin tratar</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0.46</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0.48</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0.51</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0.69</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0.91</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1.18</w:t>
            </w:r>
          </w:p>
        </w:tc>
        <w:tc>
          <w:tcPr>
            <w:tcW w:w="851"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1.50</w:t>
            </w:r>
          </w:p>
        </w:tc>
        <w:tc>
          <w:tcPr>
            <w:tcW w:w="850" w:type="dxa"/>
            <w:shd w:val="clear" w:color="auto" w:fill="auto"/>
            <w:vAlign w:val="center"/>
          </w:tcPr>
          <w:p w:rsidR="00351162" w:rsidRPr="00BD0A86" w:rsidRDefault="00F207E3" w:rsidP="00F365F9">
            <w:pPr>
              <w:spacing w:after="60" w:line="240" w:lineRule="auto"/>
              <w:ind w:firstLine="0"/>
              <w:jc w:val="center"/>
              <w:rPr>
                <w:sz w:val="20"/>
              </w:rPr>
            </w:pPr>
            <w:r w:rsidRPr="00BD0A86">
              <w:rPr>
                <w:sz w:val="20"/>
              </w:rPr>
              <w:t>1.72</w:t>
            </w:r>
          </w:p>
        </w:tc>
      </w:tr>
    </w:tbl>
    <w:p w:rsidR="00351162" w:rsidRPr="00E04F55" w:rsidRDefault="00351162" w:rsidP="00804104">
      <w:pPr>
        <w:rPr>
          <w:rFonts w:cs="Arial"/>
          <w:szCs w:val="22"/>
        </w:rPr>
      </w:pPr>
    </w:p>
    <w:p w:rsidR="001460F4" w:rsidRDefault="00DD0447" w:rsidP="00804104">
      <w:pPr>
        <w:rPr>
          <w:rFonts w:cs="Arial"/>
          <w:szCs w:val="22"/>
          <w:lang w:val="es-ES_tradnl"/>
        </w:rPr>
      </w:pPr>
      <w:r>
        <w:rPr>
          <w:rFonts w:cs="Arial"/>
          <w:szCs w:val="22"/>
          <w:lang w:val="es-ES_tradnl"/>
        </w:rPr>
        <w:t xml:space="preserve">Para el escenario sustentable el total </w:t>
      </w:r>
      <w:r w:rsidR="008D532C">
        <w:rPr>
          <w:rFonts w:cs="Arial"/>
          <w:szCs w:val="22"/>
          <w:lang w:val="es-ES_tradnl"/>
        </w:rPr>
        <w:t>de volúmenes disponibles al año</w:t>
      </w:r>
      <w:r>
        <w:rPr>
          <w:rFonts w:cs="Arial"/>
          <w:szCs w:val="22"/>
          <w:lang w:val="es-ES_tradnl"/>
        </w:rPr>
        <w:t xml:space="preserve"> 2040 es de </w:t>
      </w:r>
      <w:r>
        <w:t>57.62 hm³, cuando en el 2010 es de 54.43, el incremento se debe básicamente al aumento en el agua residual recolectada y tratada.</w:t>
      </w:r>
    </w:p>
    <w:p w:rsidR="00531749" w:rsidRPr="00A56DDD" w:rsidRDefault="00A56DDD" w:rsidP="008011C2">
      <w:pPr>
        <w:outlineLvl w:val="0"/>
        <w:rPr>
          <w:rFonts w:cs="Arial"/>
          <w:b/>
          <w:szCs w:val="22"/>
          <w:lang w:val="es-ES_tradnl"/>
        </w:rPr>
      </w:pPr>
      <w:r w:rsidRPr="00A56DDD">
        <w:rPr>
          <w:rFonts w:cs="Arial"/>
          <w:b/>
          <w:szCs w:val="22"/>
          <w:lang w:val="es-ES_tradnl"/>
        </w:rPr>
        <w:t xml:space="preserve">Proyección de disponibilidad. Escenario inercial. </w:t>
      </w:r>
      <w:r w:rsidR="00531749" w:rsidRPr="00A56DDD">
        <w:rPr>
          <w:rFonts w:cs="Arial"/>
          <w:b/>
          <w:szCs w:val="22"/>
          <w:lang w:val="es-ES_tradnl"/>
        </w:rPr>
        <w:t>Acuífero Libres Oriental</w:t>
      </w:r>
    </w:p>
    <w:p w:rsidR="001460F4" w:rsidRDefault="00531749" w:rsidP="00804104">
      <w:pPr>
        <w:rPr>
          <w:rFonts w:cs="Arial"/>
          <w:szCs w:val="22"/>
          <w:lang w:val="es-ES_tradnl"/>
        </w:rPr>
      </w:pPr>
      <w:r>
        <w:rPr>
          <w:rFonts w:cs="Arial"/>
          <w:szCs w:val="22"/>
          <w:lang w:val="es-ES_tradnl"/>
        </w:rPr>
        <w:t xml:space="preserve">En el acuífero Libres-Oriental </w:t>
      </w:r>
      <w:r w:rsidR="00800E35">
        <w:rPr>
          <w:rFonts w:cs="Arial"/>
          <w:szCs w:val="22"/>
          <w:lang w:val="es-ES_tradnl"/>
        </w:rPr>
        <w:t xml:space="preserve">se </w:t>
      </w:r>
      <w:r>
        <w:rPr>
          <w:rFonts w:cs="Arial"/>
          <w:szCs w:val="22"/>
          <w:lang w:val="es-ES_tradnl"/>
        </w:rPr>
        <w:t>presenta</w:t>
      </w:r>
      <w:r w:rsidR="00800E35">
        <w:rPr>
          <w:rFonts w:cs="Arial"/>
          <w:szCs w:val="22"/>
          <w:lang w:val="es-ES_tradnl"/>
        </w:rPr>
        <w:t>n</w:t>
      </w:r>
      <w:r>
        <w:rPr>
          <w:rFonts w:cs="Arial"/>
          <w:szCs w:val="22"/>
          <w:lang w:val="es-ES_tradnl"/>
        </w:rPr>
        <w:t xml:space="preserve"> precipitaciones importantes en su periferia y esc</w:t>
      </w:r>
      <w:r w:rsidR="00F148E0">
        <w:rPr>
          <w:rFonts w:cs="Arial"/>
          <w:szCs w:val="22"/>
          <w:lang w:val="es-ES_tradnl"/>
        </w:rPr>
        <w:t xml:space="preserve">urrimientos intermitentes en </w:t>
      </w:r>
      <w:r>
        <w:rPr>
          <w:rFonts w:cs="Arial"/>
          <w:szCs w:val="22"/>
          <w:lang w:val="es-ES_tradnl"/>
        </w:rPr>
        <w:t>l</w:t>
      </w:r>
      <w:r w:rsidR="00F148E0">
        <w:rPr>
          <w:rFonts w:cs="Arial"/>
          <w:szCs w:val="22"/>
          <w:lang w:val="es-ES_tradnl"/>
        </w:rPr>
        <w:t>a</w:t>
      </w:r>
      <w:r>
        <w:rPr>
          <w:rFonts w:cs="Arial"/>
          <w:szCs w:val="22"/>
          <w:lang w:val="es-ES_tradnl"/>
        </w:rPr>
        <w:t xml:space="preserve"> zona del valle</w:t>
      </w:r>
      <w:r w:rsidR="00800E35">
        <w:rPr>
          <w:rFonts w:cs="Arial"/>
          <w:szCs w:val="22"/>
          <w:lang w:val="es-ES_tradnl"/>
        </w:rPr>
        <w:t xml:space="preserve">, </w:t>
      </w:r>
      <w:r w:rsidR="004964DB">
        <w:rPr>
          <w:rFonts w:cs="Arial"/>
          <w:szCs w:val="22"/>
          <w:lang w:val="es-ES_tradnl"/>
        </w:rPr>
        <w:t xml:space="preserve">en donde se </w:t>
      </w:r>
      <w:r w:rsidR="00F148E0">
        <w:rPr>
          <w:rFonts w:cs="Arial"/>
          <w:szCs w:val="22"/>
          <w:lang w:val="es-ES_tradnl"/>
        </w:rPr>
        <w:t xml:space="preserve"> presenta</w:t>
      </w:r>
      <w:r w:rsidR="004964DB">
        <w:rPr>
          <w:rFonts w:cs="Arial"/>
          <w:szCs w:val="22"/>
          <w:lang w:val="es-ES_tradnl"/>
        </w:rPr>
        <w:t>n</w:t>
      </w:r>
      <w:r w:rsidR="00F148E0">
        <w:rPr>
          <w:rFonts w:cs="Arial"/>
          <w:szCs w:val="22"/>
          <w:lang w:val="es-ES_tradnl"/>
        </w:rPr>
        <w:t xml:space="preserve"> estratos geológicos permeable</w:t>
      </w:r>
      <w:r w:rsidR="00800E35">
        <w:rPr>
          <w:rFonts w:cs="Arial"/>
          <w:szCs w:val="22"/>
          <w:lang w:val="es-ES_tradnl"/>
        </w:rPr>
        <w:t>s que favorecen la infiltración; s</w:t>
      </w:r>
      <w:r w:rsidR="00F148E0">
        <w:rPr>
          <w:rFonts w:cs="Arial"/>
          <w:szCs w:val="22"/>
          <w:lang w:val="es-ES_tradnl"/>
        </w:rPr>
        <w:t xml:space="preserve">in embargo, al centro del </w:t>
      </w:r>
      <w:r w:rsidR="00800E35">
        <w:rPr>
          <w:rFonts w:cs="Arial"/>
          <w:szCs w:val="22"/>
          <w:lang w:val="es-ES_tradnl"/>
        </w:rPr>
        <w:t>mismo</w:t>
      </w:r>
      <w:r w:rsidR="00F148E0">
        <w:rPr>
          <w:rFonts w:cs="Arial"/>
          <w:szCs w:val="22"/>
          <w:lang w:val="es-ES_tradnl"/>
        </w:rPr>
        <w:t xml:space="preserve"> se </w:t>
      </w:r>
      <w:r w:rsidR="004964DB">
        <w:rPr>
          <w:rFonts w:cs="Arial"/>
          <w:szCs w:val="22"/>
          <w:lang w:val="es-ES_tradnl"/>
        </w:rPr>
        <w:t>presentan</w:t>
      </w:r>
      <w:r w:rsidR="00F148E0">
        <w:rPr>
          <w:rFonts w:cs="Arial"/>
          <w:szCs w:val="22"/>
          <w:lang w:val="es-ES_tradnl"/>
        </w:rPr>
        <w:t xml:space="preserve"> un par de lagunas que hasta 1996 </w:t>
      </w:r>
      <w:r w:rsidR="00800E35">
        <w:rPr>
          <w:rFonts w:cs="Arial"/>
          <w:szCs w:val="22"/>
          <w:lang w:val="es-ES_tradnl"/>
        </w:rPr>
        <w:t>tuvieron un</w:t>
      </w:r>
      <w:r w:rsidR="00F148E0">
        <w:rPr>
          <w:rFonts w:cs="Arial"/>
          <w:szCs w:val="22"/>
          <w:lang w:val="es-ES_tradnl"/>
        </w:rPr>
        <w:t xml:space="preserve"> nivel de agua </w:t>
      </w:r>
      <w:r w:rsidR="00800E35">
        <w:rPr>
          <w:rFonts w:cs="Arial"/>
          <w:szCs w:val="22"/>
          <w:lang w:val="es-ES_tradnl"/>
        </w:rPr>
        <w:t xml:space="preserve">que </w:t>
      </w:r>
      <w:r w:rsidR="00F148E0">
        <w:rPr>
          <w:rFonts w:cs="Arial"/>
          <w:szCs w:val="22"/>
          <w:lang w:val="es-ES_tradnl"/>
        </w:rPr>
        <w:t xml:space="preserve">era indicativo del nivel estático del agua subterránea, con el paso </w:t>
      </w:r>
      <w:r w:rsidR="00800E35">
        <w:rPr>
          <w:rFonts w:cs="Arial"/>
          <w:szCs w:val="22"/>
          <w:lang w:val="es-ES_tradnl"/>
        </w:rPr>
        <w:t xml:space="preserve">de los años, el nivel estático se ubica a </w:t>
      </w:r>
      <w:r w:rsidR="00F148E0">
        <w:rPr>
          <w:rFonts w:cs="Arial"/>
          <w:szCs w:val="22"/>
          <w:lang w:val="es-ES_tradnl"/>
        </w:rPr>
        <w:t xml:space="preserve">más de 5 metros de profundidad por debajo de las lagunas, ocasionando que dichos cuerpos de agua pasen de ser permanentes a temporales. </w:t>
      </w:r>
    </w:p>
    <w:p w:rsidR="001460F4" w:rsidRDefault="00F148E0" w:rsidP="00804104">
      <w:pPr>
        <w:rPr>
          <w:rFonts w:cs="Arial"/>
          <w:szCs w:val="22"/>
          <w:lang w:val="es-ES_tradnl"/>
        </w:rPr>
      </w:pPr>
      <w:r>
        <w:t xml:space="preserve">Actualmente (2010), las lagunas muestran en conjunto un volumen almacenado promedio de </w:t>
      </w:r>
      <w:r w:rsidR="00800E35">
        <w:t xml:space="preserve">entre </w:t>
      </w:r>
      <w:r>
        <w:t>43</w:t>
      </w:r>
      <w:r w:rsidR="00344596">
        <w:t xml:space="preserve"> y 47</w:t>
      </w:r>
      <w:r>
        <w:t xml:space="preserve"> hm³/año, -descontando la evaporación anual-, sin embargo, existen años en los que se secan totalmente y años en los que pueden duplicar el almacenamiento mencionado. </w:t>
      </w:r>
      <w:r w:rsidR="00800E35">
        <w:t>Además</w:t>
      </w:r>
      <w:r>
        <w:t xml:space="preserve">, el alto contenido de sales </w:t>
      </w:r>
      <w:r w:rsidR="004964DB">
        <w:t>provoca</w:t>
      </w:r>
      <w:r>
        <w:t xml:space="preserve"> que el agua no pueda ser utilizada de manera directa para actividades productivas. Bajo un escenario inercial en donde se continúe con la explotación intensiva del acuífero, el nivel estático descenderá paulatinamente por debajo de los 10 m por </w:t>
      </w:r>
      <w:r>
        <w:lastRenderedPageBreak/>
        <w:t xml:space="preserve">debajo </w:t>
      </w:r>
      <w:r w:rsidR="004964DB">
        <w:t>de los mencionados cuerpos de agua</w:t>
      </w:r>
      <w:r>
        <w:t>, provocando que las precipitaciones anuales que se registren n</w:t>
      </w:r>
      <w:r w:rsidR="004964DB">
        <w:t>o sean suficientes para formarlos</w:t>
      </w:r>
      <w:r>
        <w:t xml:space="preserve">. Resumiendo, la oferta total aprovechable de agua superficial, únicamente se encuentra representada por </w:t>
      </w:r>
      <w:r w:rsidR="004964DB">
        <w:t xml:space="preserve">los volúmenes </w:t>
      </w:r>
      <w:r>
        <w:t>almacena</w:t>
      </w:r>
      <w:r w:rsidR="004964DB">
        <w:t>dos</w:t>
      </w:r>
      <w:r>
        <w:t xml:space="preserve"> en los sistemas lagunares</w:t>
      </w:r>
      <w:r w:rsidR="004964DB">
        <w:t>,</w:t>
      </w:r>
      <w:r>
        <w:t xml:space="preserve"> y que bajo u</w:t>
      </w:r>
      <w:r w:rsidR="009303C3">
        <w:t xml:space="preserve">n escenario inercial se </w:t>
      </w:r>
      <w:proofErr w:type="gramStart"/>
      <w:r w:rsidR="009303C3">
        <w:t>reducirían</w:t>
      </w:r>
      <w:proofErr w:type="gramEnd"/>
      <w:r w:rsidR="009303C3">
        <w:t xml:space="preserve"> </w:t>
      </w:r>
      <w:r>
        <w:t>paulatinamente hasta cero en el año 2040.</w:t>
      </w:r>
    </w:p>
    <w:p w:rsidR="00EB7E59" w:rsidRDefault="00C60ADB" w:rsidP="00C60ADB">
      <w:r>
        <w:t>Para el año 2010, la recarga natural del acuífero de Libres-Oriental es de 295.2 hm³, los retornos urbanos de 2.77 hm³ y los agrícolas de 9.34 hm³; por lo tanto</w:t>
      </w:r>
      <w:r w:rsidR="004964DB">
        <w:t>,</w:t>
      </w:r>
      <w:r>
        <w:t xml:space="preserve"> el total de la oferta de agua subterránea aprovechable es de 307.6 hm³. Bajo un escenario inercial, con las mismas eficiencias físicas en los sistemas de agua potable, y un incremento gradual de 5 puntos porcentuales en los sistemas de riego -tanto conducción, como aplicación-, </w:t>
      </w:r>
      <w:r w:rsidR="007E7954">
        <w:t>se tendría q</w:t>
      </w:r>
      <w:r>
        <w:t>ue al final del periodo de planeación los retornos urbanos al acuífero aument</w:t>
      </w:r>
      <w:r w:rsidR="004964DB">
        <w:t>en</w:t>
      </w:r>
      <w:r w:rsidR="007E7954">
        <w:t xml:space="preserve"> gradualmente</w:t>
      </w:r>
      <w:r>
        <w:t xml:space="preserve"> </w:t>
      </w:r>
      <w:r w:rsidR="007E7954">
        <w:t xml:space="preserve">hasta llegar a </w:t>
      </w:r>
      <w:r>
        <w:t>3.44 hm</w:t>
      </w:r>
      <w:r w:rsidR="007E7954">
        <w:t>³; p</w:t>
      </w:r>
      <w:r>
        <w:t xml:space="preserve">or otra parte, abría una ligera reducción en los retornos agrícolas, ya que aumentaría ligeramente la eficiencia global en el riego (de 42.7% en 2010 a 49% en 2040) obteniéndose un retorno inducido agrícola de 8.13 hm³. Por su parte, la recarga natural también sufriría una reducción gradual, </w:t>
      </w:r>
      <w:r w:rsidR="007E7954">
        <w:t>ya que</w:t>
      </w:r>
      <w:r>
        <w:t xml:space="preserve"> al incrementarse la extracción </w:t>
      </w:r>
      <w:r w:rsidR="007E7954">
        <w:t xml:space="preserve">en la zona de </w:t>
      </w:r>
      <w:r>
        <w:t xml:space="preserve">Huamantla </w:t>
      </w:r>
      <w:r w:rsidR="007E7954">
        <w:t xml:space="preserve">se estaría provocando </w:t>
      </w:r>
      <w:r>
        <w:t xml:space="preserve">que el espesor saturado del acuífero </w:t>
      </w:r>
      <w:r w:rsidR="007E7954">
        <w:t xml:space="preserve">de Huamantla </w:t>
      </w:r>
      <w:r>
        <w:t>disminuya</w:t>
      </w:r>
      <w:r w:rsidR="007E7954">
        <w:t>,</w:t>
      </w:r>
      <w:r>
        <w:t xml:space="preserve"> y por lo tanto</w:t>
      </w:r>
      <w:r w:rsidR="007E7954">
        <w:t>,</w:t>
      </w:r>
      <w:r>
        <w:t xml:space="preserve"> el volumen que se transfiere subterráneamente de éste acuífero al de Libres–Oriental también se reduzca gradualmente, por lo que la recarga natural pasaría de 295.2 hm³ en 2010 a 290.5 hm³ en 2040. Finalmente, la oferta total de agua subterránea, pasaría de 307.3 hm³ en 2010 a 302.1 hm³ en 2040, </w:t>
      </w:r>
      <w:r w:rsidR="00EB7E59">
        <w:t>con una</w:t>
      </w:r>
      <w:r>
        <w:t xml:space="preserve"> reducción de 5.2 hm³ en todo el periodo de planeación. </w:t>
      </w:r>
    </w:p>
    <w:p w:rsidR="00F207E3" w:rsidRDefault="00F207E3" w:rsidP="00E9158D">
      <w:pPr>
        <w:pStyle w:val="Tabla1cap6"/>
      </w:pPr>
      <w:r>
        <w:t xml:space="preserve">Síntesis de oferta total de agua aprovechable en el acuífero Libres-Oriental (escenario </w:t>
      </w:r>
      <w:r w:rsidR="000117C4">
        <w:t>inercial</w:t>
      </w:r>
      <w:r>
        <w:t>)</w:t>
      </w:r>
    </w:p>
    <w:tbl>
      <w:tblPr>
        <w:tblW w:w="0" w:type="auto"/>
        <w:tblBorders>
          <w:top w:val="single" w:sz="12" w:space="0" w:color="008000"/>
          <w:bottom w:val="single" w:sz="12" w:space="0" w:color="008000"/>
        </w:tblBorders>
        <w:tblLayout w:type="fixed"/>
        <w:tblLook w:val="04A0"/>
      </w:tblPr>
      <w:tblGrid>
        <w:gridCol w:w="2943"/>
        <w:gridCol w:w="993"/>
        <w:gridCol w:w="850"/>
        <w:gridCol w:w="851"/>
        <w:gridCol w:w="850"/>
        <w:gridCol w:w="851"/>
        <w:gridCol w:w="850"/>
        <w:gridCol w:w="851"/>
        <w:gridCol w:w="850"/>
      </w:tblGrid>
      <w:tr w:rsidR="00F207E3" w:rsidRPr="00BD0A86" w:rsidTr="00BD0A86">
        <w:tc>
          <w:tcPr>
            <w:tcW w:w="2943" w:type="dxa"/>
            <w:tcBorders>
              <w:bottom w:val="single" w:sz="6" w:space="0" w:color="008000"/>
            </w:tcBorders>
            <w:shd w:val="clear" w:color="auto" w:fill="auto"/>
          </w:tcPr>
          <w:p w:rsidR="00F207E3" w:rsidRPr="00BD0A86" w:rsidRDefault="00F207E3" w:rsidP="00F365F9">
            <w:pPr>
              <w:spacing w:after="60" w:line="240" w:lineRule="auto"/>
              <w:ind w:firstLine="0"/>
              <w:rPr>
                <w:sz w:val="20"/>
              </w:rPr>
            </w:pPr>
            <w:r w:rsidRPr="00BD0A86">
              <w:rPr>
                <w:sz w:val="20"/>
              </w:rPr>
              <w:t>Periodo de Planeación</w:t>
            </w:r>
          </w:p>
        </w:tc>
        <w:tc>
          <w:tcPr>
            <w:tcW w:w="993"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2010</w:t>
            </w:r>
          </w:p>
        </w:tc>
        <w:tc>
          <w:tcPr>
            <w:tcW w:w="850"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2011</w:t>
            </w:r>
          </w:p>
        </w:tc>
        <w:tc>
          <w:tcPr>
            <w:tcW w:w="851"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2012</w:t>
            </w:r>
          </w:p>
        </w:tc>
        <w:tc>
          <w:tcPr>
            <w:tcW w:w="850"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2018</w:t>
            </w:r>
          </w:p>
        </w:tc>
        <w:tc>
          <w:tcPr>
            <w:tcW w:w="851"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2024</w:t>
            </w:r>
          </w:p>
        </w:tc>
        <w:tc>
          <w:tcPr>
            <w:tcW w:w="850"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2030</w:t>
            </w:r>
          </w:p>
        </w:tc>
        <w:tc>
          <w:tcPr>
            <w:tcW w:w="851"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2036</w:t>
            </w:r>
          </w:p>
        </w:tc>
        <w:tc>
          <w:tcPr>
            <w:tcW w:w="850" w:type="dxa"/>
            <w:tcBorders>
              <w:bottom w:val="single" w:sz="6" w:space="0" w:color="008000"/>
            </w:tcBorders>
            <w:shd w:val="clear" w:color="auto" w:fill="auto"/>
          </w:tcPr>
          <w:p w:rsidR="00F207E3" w:rsidRPr="00BD0A86" w:rsidRDefault="00F207E3" w:rsidP="00F365F9">
            <w:pPr>
              <w:spacing w:after="60" w:line="240" w:lineRule="auto"/>
              <w:ind w:firstLine="0"/>
              <w:jc w:val="center"/>
              <w:rPr>
                <w:sz w:val="20"/>
              </w:rPr>
            </w:pPr>
            <w:r w:rsidRPr="00BD0A86">
              <w:rPr>
                <w:sz w:val="20"/>
              </w:rPr>
              <w:t>2040</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 xml:space="preserve">Oferta aprovechable de agua subterránea </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193.87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196.77</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199.66</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217.02</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234.37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251.72</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269.06</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280.58</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rFonts w:eastAsia="Calibri"/>
                <w:sz w:val="20"/>
              </w:rPr>
              <w:t xml:space="preserve">Oferta aprovechable de agua </w:t>
            </w:r>
            <w:r w:rsidRPr="00BD0A86">
              <w:rPr>
                <w:sz w:val="20"/>
              </w:rPr>
              <w:t>superficial</w:t>
            </w:r>
          </w:p>
        </w:tc>
        <w:tc>
          <w:tcPr>
            <w:tcW w:w="993"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43.13</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41.69</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40.25</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31.63</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23.00</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14.38</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5.75</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rFonts w:eastAsia="Calibri"/>
                <w:sz w:val="20"/>
              </w:rPr>
            </w:pPr>
            <w:r w:rsidRPr="00BD0A86">
              <w:rPr>
                <w:rFonts w:eastAsia="Calibri"/>
                <w:sz w:val="20"/>
              </w:rPr>
              <w:t>Oferta total aprovechable</w:t>
            </w:r>
          </w:p>
        </w:tc>
        <w:tc>
          <w:tcPr>
            <w:tcW w:w="993"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240.99</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242.49</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243.99</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252.97</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261.92</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270.83</w:t>
            </w:r>
          </w:p>
        </w:tc>
        <w:tc>
          <w:tcPr>
            <w:tcW w:w="851"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279.72</w:t>
            </w:r>
          </w:p>
        </w:tc>
        <w:tc>
          <w:tcPr>
            <w:tcW w:w="850" w:type="dxa"/>
            <w:shd w:val="clear" w:color="auto" w:fill="auto"/>
            <w:vAlign w:val="center"/>
          </w:tcPr>
          <w:p w:rsidR="00F207E3" w:rsidRPr="00BD0A86" w:rsidRDefault="00F207E3" w:rsidP="00F365F9">
            <w:pPr>
              <w:spacing w:after="60" w:line="240" w:lineRule="auto"/>
              <w:ind w:firstLine="0"/>
              <w:jc w:val="center"/>
              <w:rPr>
                <w:sz w:val="20"/>
              </w:rPr>
            </w:pPr>
            <w:r w:rsidRPr="00BD0A86">
              <w:rPr>
                <w:sz w:val="20"/>
              </w:rPr>
              <w:t>285.55</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Recarga natural</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295.19</w:t>
            </w:r>
          </w:p>
        </w:tc>
        <w:tc>
          <w:tcPr>
            <w:tcW w:w="850" w:type="dxa"/>
            <w:shd w:val="clear" w:color="auto" w:fill="auto"/>
          </w:tcPr>
          <w:p w:rsidR="00F207E3" w:rsidRPr="00BD0A86" w:rsidRDefault="000117C4" w:rsidP="00F365F9">
            <w:pPr>
              <w:spacing w:after="60" w:line="240" w:lineRule="auto"/>
              <w:ind w:firstLine="0"/>
              <w:rPr>
                <w:sz w:val="20"/>
              </w:rPr>
            </w:pPr>
            <w:r w:rsidRPr="00BD0A86">
              <w:rPr>
                <w:sz w:val="20"/>
              </w:rPr>
              <w:t>295.03</w:t>
            </w:r>
          </w:p>
        </w:tc>
        <w:tc>
          <w:tcPr>
            <w:tcW w:w="851" w:type="dxa"/>
            <w:shd w:val="clear" w:color="auto" w:fill="auto"/>
          </w:tcPr>
          <w:p w:rsidR="00F207E3" w:rsidRPr="00BD0A86" w:rsidRDefault="000117C4" w:rsidP="00F365F9">
            <w:pPr>
              <w:spacing w:after="60" w:line="240" w:lineRule="auto"/>
              <w:ind w:firstLine="0"/>
              <w:rPr>
                <w:sz w:val="20"/>
              </w:rPr>
            </w:pPr>
            <w:r w:rsidRPr="00BD0A86">
              <w:rPr>
                <w:sz w:val="20"/>
              </w:rPr>
              <w:t>294.88</w:t>
            </w:r>
          </w:p>
        </w:tc>
        <w:tc>
          <w:tcPr>
            <w:tcW w:w="850" w:type="dxa"/>
            <w:shd w:val="clear" w:color="auto" w:fill="auto"/>
          </w:tcPr>
          <w:p w:rsidR="00F207E3" w:rsidRPr="00BD0A86" w:rsidRDefault="000117C4" w:rsidP="00F365F9">
            <w:pPr>
              <w:spacing w:after="60" w:line="240" w:lineRule="auto"/>
              <w:ind w:firstLine="0"/>
              <w:rPr>
                <w:sz w:val="20"/>
              </w:rPr>
            </w:pPr>
            <w:r w:rsidRPr="00BD0A86">
              <w:rPr>
                <w:sz w:val="20"/>
              </w:rPr>
              <w:t>293.94</w:t>
            </w:r>
          </w:p>
        </w:tc>
        <w:tc>
          <w:tcPr>
            <w:tcW w:w="851" w:type="dxa"/>
            <w:shd w:val="clear" w:color="auto" w:fill="auto"/>
          </w:tcPr>
          <w:p w:rsidR="00F207E3" w:rsidRPr="00BD0A86" w:rsidRDefault="000117C4" w:rsidP="00F365F9">
            <w:pPr>
              <w:spacing w:after="60" w:line="240" w:lineRule="auto"/>
              <w:ind w:firstLine="0"/>
              <w:rPr>
                <w:sz w:val="20"/>
              </w:rPr>
            </w:pPr>
            <w:r w:rsidRPr="00BD0A86">
              <w:rPr>
                <w:sz w:val="20"/>
              </w:rPr>
              <w:t>293.00</w:t>
            </w:r>
          </w:p>
        </w:tc>
        <w:tc>
          <w:tcPr>
            <w:tcW w:w="850" w:type="dxa"/>
            <w:shd w:val="clear" w:color="auto" w:fill="auto"/>
          </w:tcPr>
          <w:p w:rsidR="00F207E3" w:rsidRPr="00BD0A86" w:rsidRDefault="000117C4" w:rsidP="00F365F9">
            <w:pPr>
              <w:spacing w:after="60" w:line="240" w:lineRule="auto"/>
              <w:ind w:firstLine="0"/>
              <w:rPr>
                <w:sz w:val="20"/>
              </w:rPr>
            </w:pPr>
            <w:r w:rsidRPr="00BD0A86">
              <w:rPr>
                <w:sz w:val="20"/>
              </w:rPr>
              <w:t>292.06</w:t>
            </w:r>
          </w:p>
        </w:tc>
        <w:tc>
          <w:tcPr>
            <w:tcW w:w="851" w:type="dxa"/>
            <w:shd w:val="clear" w:color="auto" w:fill="auto"/>
          </w:tcPr>
          <w:p w:rsidR="00F207E3" w:rsidRPr="00BD0A86" w:rsidRDefault="000117C4" w:rsidP="00F365F9">
            <w:pPr>
              <w:spacing w:after="60" w:line="240" w:lineRule="auto"/>
              <w:ind w:firstLine="0"/>
              <w:rPr>
                <w:sz w:val="20"/>
              </w:rPr>
            </w:pPr>
            <w:r w:rsidRPr="00BD0A86">
              <w:rPr>
                <w:sz w:val="20"/>
              </w:rPr>
              <w:t>291.13</w:t>
            </w:r>
          </w:p>
        </w:tc>
        <w:tc>
          <w:tcPr>
            <w:tcW w:w="850" w:type="dxa"/>
            <w:shd w:val="clear" w:color="auto" w:fill="auto"/>
          </w:tcPr>
          <w:p w:rsidR="00F207E3" w:rsidRPr="00BD0A86" w:rsidRDefault="000117C4" w:rsidP="00F365F9">
            <w:pPr>
              <w:spacing w:after="60" w:line="240" w:lineRule="auto"/>
              <w:ind w:firstLine="0"/>
              <w:rPr>
                <w:sz w:val="20"/>
              </w:rPr>
            </w:pPr>
            <w:r w:rsidRPr="00BD0A86">
              <w:rPr>
                <w:sz w:val="20"/>
              </w:rPr>
              <w:t>290.50</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Recarga inducida</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12.10</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12.09</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12.07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11.98</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11.89</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11.78</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11.67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11.57</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Volumen comprometido</w:t>
            </w:r>
          </w:p>
        </w:tc>
        <w:tc>
          <w:tcPr>
            <w:tcW w:w="993"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-113.42</w:t>
            </w:r>
          </w:p>
        </w:tc>
        <w:tc>
          <w:tcPr>
            <w:tcW w:w="850"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-110.35</w:t>
            </w:r>
          </w:p>
        </w:tc>
        <w:tc>
          <w:tcPr>
            <w:tcW w:w="851"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-107.29</w:t>
            </w:r>
          </w:p>
        </w:tc>
        <w:tc>
          <w:tcPr>
            <w:tcW w:w="850"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-88.90</w:t>
            </w:r>
          </w:p>
        </w:tc>
        <w:tc>
          <w:tcPr>
            <w:tcW w:w="851"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-70.51</w:t>
            </w:r>
          </w:p>
        </w:tc>
        <w:tc>
          <w:tcPr>
            <w:tcW w:w="850"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-52.13</w:t>
            </w:r>
          </w:p>
        </w:tc>
        <w:tc>
          <w:tcPr>
            <w:tcW w:w="851"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-33.74</w:t>
            </w:r>
          </w:p>
        </w:tc>
        <w:tc>
          <w:tcPr>
            <w:tcW w:w="850" w:type="dxa"/>
            <w:shd w:val="clear" w:color="auto" w:fill="auto"/>
            <w:vAlign w:val="center"/>
          </w:tcPr>
          <w:p w:rsidR="00F207E3" w:rsidRPr="00BD0A86" w:rsidRDefault="000117C4" w:rsidP="00F365F9">
            <w:pPr>
              <w:spacing w:after="60" w:line="240" w:lineRule="auto"/>
              <w:ind w:firstLine="0"/>
              <w:jc w:val="center"/>
              <w:rPr>
                <w:sz w:val="18"/>
                <w:szCs w:val="18"/>
              </w:rPr>
            </w:pPr>
            <w:r w:rsidRPr="00BD0A86">
              <w:rPr>
                <w:sz w:val="18"/>
                <w:szCs w:val="18"/>
              </w:rPr>
              <w:t>-21.48</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Retorno urbano</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2.77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2.80</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2.83</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3.00</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3.15</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3.28</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3.40</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3.44</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Retornos agrícolas</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9.34</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9.29</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9.25</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8.99</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8.74</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8.50</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8.27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8.13</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Agua residual urbana recolectada</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3.99</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4.04</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4.08</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4.33</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4.55</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4.74</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4.91</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4.96</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Agua residual tratada producida</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0.08</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0.12</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0.16</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0.43</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0.73</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1.04</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1.37</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1.59</w:t>
            </w:r>
          </w:p>
        </w:tc>
      </w:tr>
      <w:tr w:rsidR="00F207E3" w:rsidRPr="00BD0A86" w:rsidTr="00BD0A86">
        <w:tc>
          <w:tcPr>
            <w:tcW w:w="2943" w:type="dxa"/>
            <w:shd w:val="clear" w:color="auto" w:fill="auto"/>
          </w:tcPr>
          <w:p w:rsidR="00F207E3" w:rsidRPr="00BD0A86" w:rsidRDefault="00F207E3" w:rsidP="00F365F9">
            <w:pPr>
              <w:spacing w:after="60" w:line="240" w:lineRule="auto"/>
              <w:ind w:firstLine="0"/>
              <w:jc w:val="left"/>
              <w:rPr>
                <w:sz w:val="20"/>
              </w:rPr>
            </w:pPr>
            <w:r w:rsidRPr="00BD0A86">
              <w:rPr>
                <w:sz w:val="20"/>
              </w:rPr>
              <w:t>Agua residual urbana sin tratar</w:t>
            </w:r>
          </w:p>
        </w:tc>
        <w:tc>
          <w:tcPr>
            <w:tcW w:w="993"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3.91</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3.92</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3.92</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3.89</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3.82</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3.69</w:t>
            </w:r>
          </w:p>
        </w:tc>
        <w:tc>
          <w:tcPr>
            <w:tcW w:w="851"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3.53</w:t>
            </w:r>
          </w:p>
        </w:tc>
        <w:tc>
          <w:tcPr>
            <w:tcW w:w="850" w:type="dxa"/>
            <w:shd w:val="clear" w:color="auto" w:fill="auto"/>
            <w:vAlign w:val="center"/>
          </w:tcPr>
          <w:p w:rsidR="00F207E3" w:rsidRPr="00BD0A86" w:rsidRDefault="000117C4" w:rsidP="00F365F9">
            <w:pPr>
              <w:spacing w:after="60" w:line="240" w:lineRule="auto"/>
              <w:ind w:firstLine="0"/>
              <w:jc w:val="center"/>
              <w:rPr>
                <w:sz w:val="20"/>
              </w:rPr>
            </w:pPr>
            <w:r w:rsidRPr="00BD0A86">
              <w:rPr>
                <w:sz w:val="20"/>
              </w:rPr>
              <w:t>3.38</w:t>
            </w:r>
          </w:p>
        </w:tc>
      </w:tr>
    </w:tbl>
    <w:p w:rsidR="00F207E3" w:rsidRDefault="00F207E3" w:rsidP="00C60ADB"/>
    <w:p w:rsidR="00C60ADB" w:rsidRDefault="00C60ADB" w:rsidP="00C60ADB">
      <w:r>
        <w:t>Abría que tomar en cuenta que a la oferta total de agua subterránea descrita no se le han descontado los volúmenes naturales comprometidos, los cuales en 2010 son de 113.4 hm³ y para el 2040 se tiene contemplado que estos disminuyan gradu</w:t>
      </w:r>
      <w:r w:rsidR="00EB7E59">
        <w:t>almente hasta alcanzar 21.5 hm³</w:t>
      </w:r>
      <w:r w:rsidR="007E7954">
        <w:t xml:space="preserve"> bajo un escenario inercial,</w:t>
      </w:r>
      <w:r>
        <w:t xml:space="preserve"> esto debido a que los niveles estáticos al alcanzar niveles mayores a los 10 m de profundidad, provocarían que la evapotranspiración freática sea </w:t>
      </w:r>
      <w:r w:rsidR="007E7954">
        <w:t xml:space="preserve">igual a </w:t>
      </w:r>
      <w:r>
        <w:t>cero en el año 2040; por lo tanto</w:t>
      </w:r>
      <w:r w:rsidR="007E7954">
        <w:t>,</w:t>
      </w:r>
      <w:r>
        <w:t xml:space="preserve"> los únicos volúmenes comprometidos serían los correspondientes a manantiales y a salidas horizontales hacia los acuíferos de Perote-</w:t>
      </w:r>
      <w:r w:rsidR="00106565">
        <w:t>Zalayeta</w:t>
      </w:r>
      <w:r>
        <w:t xml:space="preserve">, Ver. </w:t>
      </w:r>
      <w:proofErr w:type="gramStart"/>
      <w:r>
        <w:t>y</w:t>
      </w:r>
      <w:proofErr w:type="gramEnd"/>
      <w:r>
        <w:t xml:space="preserve"> Valle de Tecamachalco, </w:t>
      </w:r>
      <w:proofErr w:type="spellStart"/>
      <w:r>
        <w:t>Pue</w:t>
      </w:r>
      <w:proofErr w:type="spellEnd"/>
      <w:r>
        <w:t>. Estas salidas horizontales, también se verían afectadas bajo un escenario inercial, debido a que se reduciría gradualmente el espesor saturado del acuífero, por lo que las salidas subterráneas horizontales pasarían de 22.2 hm³ en 2010 a 20.7 hm³ en 2040. De esta forma tenemos que la oferta total aprovechable del acuífero Libres – Oriental pasaría de 193.9 hm³ en 2</w:t>
      </w:r>
      <w:r w:rsidR="00CF34DE">
        <w:t xml:space="preserve">010 a 280.58 hm³ en el año 2040, </w:t>
      </w:r>
      <w:r>
        <w:t>como resultado de pe</w:t>
      </w:r>
      <w:r w:rsidR="00EB7E59">
        <w:t>r</w:t>
      </w:r>
      <w:r>
        <w:t>der los ecosistemas lagunares que actualmente se encuentran en peligro de desaparecer.</w:t>
      </w:r>
    </w:p>
    <w:p w:rsidR="008A3D02" w:rsidRPr="0083051F" w:rsidRDefault="008A3D02" w:rsidP="008A3D02">
      <w:r>
        <w:rPr>
          <w:rFonts w:cs="Arial"/>
          <w:szCs w:val="22"/>
        </w:rPr>
        <w:t xml:space="preserve">En términos de agua residual con y sin tratamiento, actualmente las localidades urbanas </w:t>
      </w:r>
      <w:r>
        <w:t>dentro de la</w:t>
      </w:r>
      <w:r w:rsidRPr="0083051F">
        <w:t xml:space="preserve"> zona del Valle de </w:t>
      </w:r>
      <w:r>
        <w:t>Libres–Oriental no trata</w:t>
      </w:r>
      <w:r w:rsidR="00CF34DE">
        <w:t>n</w:t>
      </w:r>
      <w:r>
        <w:t xml:space="preserve"> sus aguas residuales recolectadas. Dentro del escenario tendencial a lo más que se podría aspirar en el tratamiento de aguas residuales recolectadas, sería al 32% en el 2040, mientras que la cobertura de alcantarillado se mantendría en 47.6%</w:t>
      </w:r>
      <w:r w:rsidR="00CF34DE">
        <w:t>,</w:t>
      </w:r>
      <w:r>
        <w:t xml:space="preserve"> por lo que al final del periodo de planeación (2040) se estaría recolectando un volumen de 4.96 hm³ (actualmente </w:t>
      </w:r>
      <w:r w:rsidR="00CF34DE">
        <w:t>es de</w:t>
      </w:r>
      <w:r>
        <w:t xml:space="preserve"> 3.87 hm³), por lo que al tratarse el 32% de esta agua se tendría un volumen producido de agua residual tratada de 1.59 hm³ (actualmente es de </w:t>
      </w:r>
      <w:r w:rsidR="00CF34DE">
        <w:t>cero)</w:t>
      </w:r>
      <w:r>
        <w:t xml:space="preserve"> queda</w:t>
      </w:r>
      <w:r w:rsidR="00CF34DE">
        <w:t xml:space="preserve">ndo </w:t>
      </w:r>
      <w:r>
        <w:t>un volumen sin tratar de aproximadamente 3.38 hm³ (actualmente es de 3.87 hm³).</w:t>
      </w:r>
    </w:p>
    <w:p w:rsidR="001460F4" w:rsidRDefault="008A3D02" w:rsidP="00804104">
      <w:pPr>
        <w:rPr>
          <w:rFonts w:cs="Arial"/>
          <w:szCs w:val="22"/>
        </w:rPr>
      </w:pPr>
      <w:r>
        <w:rPr>
          <w:rFonts w:cs="Arial"/>
          <w:szCs w:val="22"/>
        </w:rPr>
        <w:t xml:space="preserve">Finalmente, para un escenario inercial, la oferta total de agua aprovechable en el acuífero Libres-Oriental al año 2040 es </w:t>
      </w:r>
      <w:r>
        <w:t xml:space="preserve">de 285.55 hm³, </w:t>
      </w:r>
      <w:r w:rsidR="00CF34DE">
        <w:t xml:space="preserve">siendo que </w:t>
      </w:r>
      <w:r>
        <w:t>en el 2010 es de 240.99. El incremento se basa a que la descarga comprometida -como evapotranspiración de los ecosistemas acuáticos-, desaparecerían al profundizarse el nivel estático por debajo de las zonas lagunares, por lo que el aumento es a costa de la pérdida gradual de la biodiversidad de los ecosistemas lagunares, hasta alcanzar la pérdida total de ellos en el 2040; por otra parte, también el incremento es producido por el aumento en la recarga inducida que se presenta en las localidades urbanas, básicamente en la ciudad de Huamantla y en el incremento en el agua residual recolectada y posteriormente tratada.</w:t>
      </w:r>
    </w:p>
    <w:p w:rsidR="003E3F39" w:rsidRPr="00CF34DE" w:rsidRDefault="00CF34DE" w:rsidP="003E3F39">
      <w:pPr>
        <w:rPr>
          <w:rFonts w:cs="Arial"/>
          <w:b/>
          <w:szCs w:val="22"/>
          <w:lang w:val="es-ES_tradnl"/>
        </w:rPr>
      </w:pPr>
      <w:r w:rsidRPr="00CF34DE">
        <w:rPr>
          <w:rFonts w:cs="Arial"/>
          <w:b/>
          <w:szCs w:val="22"/>
          <w:lang w:val="es-ES_tradnl"/>
        </w:rPr>
        <w:t xml:space="preserve">Proyección de disponibilidad. </w:t>
      </w:r>
      <w:r w:rsidR="003E3F39" w:rsidRPr="00CF34DE">
        <w:rPr>
          <w:rFonts w:cs="Arial"/>
          <w:b/>
          <w:szCs w:val="22"/>
          <w:lang w:val="es-ES_tradnl"/>
        </w:rPr>
        <w:t xml:space="preserve">Escenario </w:t>
      </w:r>
      <w:r w:rsidRPr="00CF34DE">
        <w:rPr>
          <w:rFonts w:cs="Arial"/>
          <w:b/>
          <w:szCs w:val="22"/>
          <w:lang w:val="es-ES_tradnl"/>
        </w:rPr>
        <w:t>Máxima Tecnificación (Sustentable).</w:t>
      </w:r>
      <w:r w:rsidR="003E3F39" w:rsidRPr="00CF34DE">
        <w:rPr>
          <w:rFonts w:cs="Arial"/>
          <w:b/>
          <w:szCs w:val="22"/>
          <w:lang w:val="es-ES_tradnl"/>
        </w:rPr>
        <w:t xml:space="preserve"> Acuífero Libres Oriental</w:t>
      </w:r>
    </w:p>
    <w:p w:rsidR="008A3D02" w:rsidRDefault="00344596" w:rsidP="00804104">
      <w:pPr>
        <w:rPr>
          <w:rFonts w:cs="Arial"/>
          <w:szCs w:val="22"/>
        </w:rPr>
      </w:pPr>
      <w:r>
        <w:rPr>
          <w:rFonts w:cs="Arial"/>
          <w:szCs w:val="22"/>
        </w:rPr>
        <w:t xml:space="preserve">En un escenario donde las lagunas del valle son elementos relevantes, </w:t>
      </w:r>
      <w:r w:rsidR="00CF34DE">
        <w:rPr>
          <w:rFonts w:cs="Arial"/>
          <w:szCs w:val="22"/>
        </w:rPr>
        <w:t>se tiene que é</w:t>
      </w:r>
      <w:r w:rsidR="00CA7649">
        <w:rPr>
          <w:rFonts w:cs="Arial"/>
          <w:szCs w:val="22"/>
        </w:rPr>
        <w:t xml:space="preserve">stas, dentro de un escenario de máxima tecnificación, podrían estar incrementando su nivel estático hasta alcanzar el metro por debajo de las mismas, </w:t>
      </w:r>
      <w:r w:rsidR="00CA7649">
        <w:t>provocando que las precipitaciones anuales que se registr</w:t>
      </w:r>
      <w:r w:rsidR="00CF34DE">
        <w:t>en sean suficientes para formar</w:t>
      </w:r>
      <w:r w:rsidR="00CA7649">
        <w:t>las de una manera similar a la que existía hasta antes de 1996. Resumiendo</w:t>
      </w:r>
      <w:r w:rsidR="00CF34DE">
        <w:t>,</w:t>
      </w:r>
      <w:r w:rsidR="00CA7649">
        <w:t xml:space="preserve"> la oferta total aprovechable de agua superficial, únicamente se encuentra representada por el agua que se almacena en </w:t>
      </w:r>
      <w:r w:rsidR="00CF34DE">
        <w:t>dichos</w:t>
      </w:r>
      <w:r w:rsidR="00CA7649">
        <w:t xml:space="preserve"> sistemas lagunares </w:t>
      </w:r>
      <w:r w:rsidR="00CF34DE">
        <w:t>-</w:t>
      </w:r>
      <w:r w:rsidR="00CA7649">
        <w:t>y la cual es salobre</w:t>
      </w:r>
      <w:r w:rsidR="00CF34DE">
        <w:t>-</w:t>
      </w:r>
      <w:r w:rsidR="00CA7649">
        <w:t>, siendo este volumen de entre 43 y 47 hm³/año, y que bajo un escenario de máxima tecnificación aumentaría paulatinamente hasta alcanzar los 75 hm³ en 2040.</w:t>
      </w:r>
    </w:p>
    <w:p w:rsidR="00C042D0" w:rsidRDefault="002A2183" w:rsidP="00804104">
      <w:r>
        <w:rPr>
          <w:rFonts w:cs="Arial"/>
          <w:szCs w:val="22"/>
        </w:rPr>
        <w:lastRenderedPageBreak/>
        <w:t xml:space="preserve">Partiendo </w:t>
      </w:r>
      <w:r>
        <w:t xml:space="preserve">que para el año 2010 la recarga natural es de 295.5 hm³, los retornos urbanos de 2.7 hm³ y los agrícolas de 9.4 hm³, </w:t>
      </w:r>
      <w:r w:rsidR="001412BB">
        <w:t>se tiene una de</w:t>
      </w:r>
      <w:r>
        <w:t xml:space="preserve"> oferta </w:t>
      </w:r>
      <w:r w:rsidR="001412BB">
        <w:t xml:space="preserve">total </w:t>
      </w:r>
      <w:r>
        <w:t>de agua subterránea de 307.6 hm³. Bajo un escenario de máxima tecnificación</w:t>
      </w:r>
      <w:r w:rsidR="001412BB">
        <w:t>,</w:t>
      </w:r>
      <w:r>
        <w:t xml:space="preserve"> en donde las </w:t>
      </w:r>
      <w:r w:rsidR="001412BB">
        <w:t>coberturas</w:t>
      </w:r>
      <w:r>
        <w:t xml:space="preserve"> de agua potable alcanzan e</w:t>
      </w:r>
      <w:r w:rsidR="001412BB">
        <w:t>l 99% en localidades urbanas, las</w:t>
      </w:r>
      <w:r>
        <w:t xml:space="preserve"> perdidas físicas </w:t>
      </w:r>
      <w:r w:rsidR="001412BB">
        <w:t xml:space="preserve">llegan al </w:t>
      </w:r>
      <w:r>
        <w:t xml:space="preserve">20% al 2040, </w:t>
      </w:r>
      <w:r w:rsidR="001412BB">
        <w:t>y se mantienen</w:t>
      </w:r>
      <w:r>
        <w:t xml:space="preserve"> las dotaciones urbanas de agua potable en 263 l/s, se tendría una disminución gradual en la recarga inducida de sistemas urbanos hasta alcanzar 1.87 hm³ en el año 2040 (actualmente es de 2.7 hm³); por otra parte si se incrementara gradualmente la eficiencia en los sistemas de riego hasta alcanzar </w:t>
      </w:r>
      <w:r w:rsidR="00C042D0">
        <w:t>una</w:t>
      </w:r>
      <w:r>
        <w:t xml:space="preserve"> eficiencia global </w:t>
      </w:r>
      <w:r w:rsidR="00C042D0">
        <w:t>al</w:t>
      </w:r>
      <w:r>
        <w:t xml:space="preserve"> año 2040 del 80.8%, se tendría una reducción en la recarga inducida por el riego agrícola </w:t>
      </w:r>
      <w:r w:rsidR="001412BB">
        <w:t>alcanzando</w:t>
      </w:r>
      <w:r>
        <w:t xml:space="preserve"> 4.54 h</w:t>
      </w:r>
      <w:r w:rsidR="00C042D0">
        <w:t>m³ (actualmente es de 9.43 hm³) -</w:t>
      </w:r>
      <w:r>
        <w:t xml:space="preserve">cabe señalar que la superficie agrícola de riego se mantendría sin cambios a lo largo de todo el periodo de planeación. </w:t>
      </w:r>
    </w:p>
    <w:p w:rsidR="000117C4" w:rsidRDefault="000117C4" w:rsidP="00E9158D">
      <w:pPr>
        <w:pStyle w:val="Tabla1cap6"/>
      </w:pPr>
      <w:r>
        <w:t>Síntesis de oferta total de agua aprovechable en el acuífero Libres-Oriental (escenario sustentable)</w:t>
      </w:r>
    </w:p>
    <w:tbl>
      <w:tblPr>
        <w:tblW w:w="0" w:type="auto"/>
        <w:tblBorders>
          <w:top w:val="single" w:sz="12" w:space="0" w:color="008000"/>
          <w:bottom w:val="single" w:sz="12" w:space="0" w:color="008000"/>
        </w:tblBorders>
        <w:tblLayout w:type="fixed"/>
        <w:tblLook w:val="04A0"/>
      </w:tblPr>
      <w:tblGrid>
        <w:gridCol w:w="2943"/>
        <w:gridCol w:w="993"/>
        <w:gridCol w:w="850"/>
        <w:gridCol w:w="851"/>
        <w:gridCol w:w="850"/>
        <w:gridCol w:w="851"/>
        <w:gridCol w:w="850"/>
        <w:gridCol w:w="851"/>
        <w:gridCol w:w="850"/>
      </w:tblGrid>
      <w:tr w:rsidR="000117C4" w:rsidRPr="00BD0A86" w:rsidTr="00BD0A86">
        <w:tc>
          <w:tcPr>
            <w:tcW w:w="2943" w:type="dxa"/>
            <w:tcBorders>
              <w:bottom w:val="single" w:sz="6" w:space="0" w:color="008000"/>
            </w:tcBorders>
            <w:shd w:val="clear" w:color="auto" w:fill="auto"/>
          </w:tcPr>
          <w:p w:rsidR="000117C4" w:rsidRPr="00BD0A86" w:rsidRDefault="000117C4" w:rsidP="00F365F9">
            <w:pPr>
              <w:spacing w:after="60" w:line="240" w:lineRule="auto"/>
              <w:ind w:firstLine="0"/>
              <w:rPr>
                <w:sz w:val="20"/>
              </w:rPr>
            </w:pPr>
            <w:r w:rsidRPr="00BD0A86">
              <w:rPr>
                <w:sz w:val="20"/>
              </w:rPr>
              <w:t>Periodo de Planeación</w:t>
            </w:r>
          </w:p>
        </w:tc>
        <w:tc>
          <w:tcPr>
            <w:tcW w:w="993"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2010</w:t>
            </w:r>
          </w:p>
        </w:tc>
        <w:tc>
          <w:tcPr>
            <w:tcW w:w="850"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2011</w:t>
            </w:r>
          </w:p>
        </w:tc>
        <w:tc>
          <w:tcPr>
            <w:tcW w:w="851"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2012</w:t>
            </w:r>
          </w:p>
        </w:tc>
        <w:tc>
          <w:tcPr>
            <w:tcW w:w="850"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2018</w:t>
            </w:r>
          </w:p>
        </w:tc>
        <w:tc>
          <w:tcPr>
            <w:tcW w:w="851"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2024</w:t>
            </w:r>
          </w:p>
        </w:tc>
        <w:tc>
          <w:tcPr>
            <w:tcW w:w="850"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2030</w:t>
            </w:r>
          </w:p>
        </w:tc>
        <w:tc>
          <w:tcPr>
            <w:tcW w:w="851"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2036</w:t>
            </w:r>
          </w:p>
        </w:tc>
        <w:tc>
          <w:tcPr>
            <w:tcW w:w="850" w:type="dxa"/>
            <w:tcBorders>
              <w:bottom w:val="single" w:sz="6" w:space="0" w:color="008000"/>
            </w:tcBorders>
            <w:shd w:val="clear" w:color="auto" w:fill="auto"/>
          </w:tcPr>
          <w:p w:rsidR="000117C4" w:rsidRPr="00BD0A86" w:rsidRDefault="000117C4" w:rsidP="00F365F9">
            <w:pPr>
              <w:spacing w:after="60" w:line="240" w:lineRule="auto"/>
              <w:ind w:firstLine="0"/>
              <w:jc w:val="center"/>
              <w:rPr>
                <w:sz w:val="20"/>
              </w:rPr>
            </w:pPr>
            <w:r w:rsidRPr="00BD0A86">
              <w:rPr>
                <w:sz w:val="20"/>
              </w:rPr>
              <w:t>2040</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 xml:space="preserve">Oferta aprovechable de agua subterránea </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184.68</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182.99</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181.31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174.63</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161.51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151.82</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142.23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135.86</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rFonts w:eastAsia="Calibri"/>
                <w:sz w:val="20"/>
              </w:rPr>
              <w:t xml:space="preserve">Oferta aprovechable de agua </w:t>
            </w:r>
            <w:r w:rsidRPr="00BD0A86">
              <w:rPr>
                <w:sz w:val="20"/>
              </w:rPr>
              <w:t>superficial</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47.81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48.72</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49.63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53.25</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60.50</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65.94</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71.38</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75.00</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rFonts w:eastAsia="Calibri"/>
                <w:sz w:val="20"/>
              </w:rPr>
            </w:pPr>
            <w:r w:rsidRPr="00BD0A86">
              <w:rPr>
                <w:rFonts w:eastAsia="Calibri"/>
                <w:sz w:val="20"/>
              </w:rPr>
              <w:t>Oferta total aprovechable</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236.74</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236.14</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235.54</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233.24</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229.01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226.08</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223.33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221.46</w:t>
            </w:r>
          </w:p>
        </w:tc>
      </w:tr>
      <w:tr w:rsidR="006341C8" w:rsidRPr="00BD0A86" w:rsidTr="00BD0A86">
        <w:tc>
          <w:tcPr>
            <w:tcW w:w="2943" w:type="dxa"/>
            <w:shd w:val="clear" w:color="auto" w:fill="auto"/>
          </w:tcPr>
          <w:p w:rsidR="006341C8" w:rsidRPr="00BD0A86" w:rsidRDefault="006341C8" w:rsidP="00F365F9">
            <w:pPr>
              <w:spacing w:after="60" w:line="240" w:lineRule="auto"/>
              <w:ind w:firstLine="0"/>
              <w:jc w:val="left"/>
              <w:rPr>
                <w:sz w:val="20"/>
              </w:rPr>
            </w:pPr>
            <w:r w:rsidRPr="00BD0A86">
              <w:rPr>
                <w:sz w:val="20"/>
              </w:rPr>
              <w:t>Recarga natural</w:t>
            </w:r>
          </w:p>
        </w:tc>
        <w:tc>
          <w:tcPr>
            <w:tcW w:w="993" w:type="dxa"/>
            <w:shd w:val="clear" w:color="auto" w:fill="auto"/>
            <w:vAlign w:val="center"/>
          </w:tcPr>
          <w:p w:rsidR="006341C8" w:rsidRPr="00BD0A86" w:rsidRDefault="006341C8" w:rsidP="00F365F9">
            <w:pPr>
              <w:spacing w:after="60" w:line="240" w:lineRule="auto"/>
              <w:ind w:firstLine="0"/>
              <w:jc w:val="center"/>
              <w:rPr>
                <w:sz w:val="20"/>
              </w:rPr>
            </w:pPr>
            <w:r w:rsidRPr="00BD0A86">
              <w:rPr>
                <w:sz w:val="20"/>
              </w:rPr>
              <w:t>295.50</w:t>
            </w:r>
          </w:p>
        </w:tc>
        <w:tc>
          <w:tcPr>
            <w:tcW w:w="850" w:type="dxa"/>
            <w:shd w:val="clear" w:color="auto" w:fill="auto"/>
          </w:tcPr>
          <w:p w:rsidR="006341C8" w:rsidRPr="00BD0A86" w:rsidRDefault="006341C8" w:rsidP="00F365F9">
            <w:pPr>
              <w:spacing w:after="60" w:line="240" w:lineRule="auto"/>
              <w:ind w:firstLine="0"/>
              <w:rPr>
                <w:sz w:val="20"/>
              </w:rPr>
            </w:pPr>
            <w:r w:rsidRPr="00BD0A86">
              <w:rPr>
                <w:sz w:val="20"/>
              </w:rPr>
              <w:t>295.50</w:t>
            </w:r>
          </w:p>
        </w:tc>
        <w:tc>
          <w:tcPr>
            <w:tcW w:w="851" w:type="dxa"/>
            <w:shd w:val="clear" w:color="auto" w:fill="auto"/>
          </w:tcPr>
          <w:p w:rsidR="006341C8" w:rsidRPr="00BD0A86" w:rsidRDefault="006341C8" w:rsidP="00F365F9">
            <w:pPr>
              <w:spacing w:after="60" w:line="240" w:lineRule="auto"/>
              <w:ind w:firstLine="0"/>
              <w:rPr>
                <w:sz w:val="20"/>
              </w:rPr>
            </w:pPr>
            <w:r w:rsidRPr="00BD0A86">
              <w:rPr>
                <w:sz w:val="20"/>
              </w:rPr>
              <w:t>295.50</w:t>
            </w:r>
          </w:p>
        </w:tc>
        <w:tc>
          <w:tcPr>
            <w:tcW w:w="850" w:type="dxa"/>
            <w:shd w:val="clear" w:color="auto" w:fill="auto"/>
          </w:tcPr>
          <w:p w:rsidR="006341C8" w:rsidRPr="00BD0A86" w:rsidRDefault="006341C8" w:rsidP="00F365F9">
            <w:pPr>
              <w:spacing w:after="60" w:line="240" w:lineRule="auto"/>
              <w:ind w:firstLine="0"/>
              <w:rPr>
                <w:sz w:val="20"/>
              </w:rPr>
            </w:pPr>
            <w:r w:rsidRPr="00BD0A86">
              <w:rPr>
                <w:sz w:val="20"/>
              </w:rPr>
              <w:t>295.50</w:t>
            </w:r>
          </w:p>
        </w:tc>
        <w:tc>
          <w:tcPr>
            <w:tcW w:w="851" w:type="dxa"/>
            <w:shd w:val="clear" w:color="auto" w:fill="auto"/>
          </w:tcPr>
          <w:p w:rsidR="006341C8" w:rsidRPr="00BD0A86" w:rsidRDefault="006341C8" w:rsidP="00F365F9">
            <w:pPr>
              <w:spacing w:after="60" w:line="240" w:lineRule="auto"/>
              <w:ind w:firstLine="0"/>
              <w:rPr>
                <w:sz w:val="20"/>
              </w:rPr>
            </w:pPr>
            <w:r w:rsidRPr="00BD0A86">
              <w:rPr>
                <w:sz w:val="20"/>
              </w:rPr>
              <w:t>295.50</w:t>
            </w:r>
          </w:p>
        </w:tc>
        <w:tc>
          <w:tcPr>
            <w:tcW w:w="850" w:type="dxa"/>
            <w:shd w:val="clear" w:color="auto" w:fill="auto"/>
          </w:tcPr>
          <w:p w:rsidR="006341C8" w:rsidRPr="00BD0A86" w:rsidRDefault="006341C8" w:rsidP="00F365F9">
            <w:pPr>
              <w:spacing w:after="60" w:line="240" w:lineRule="auto"/>
              <w:ind w:firstLine="0"/>
              <w:rPr>
                <w:sz w:val="20"/>
              </w:rPr>
            </w:pPr>
            <w:r w:rsidRPr="00BD0A86">
              <w:rPr>
                <w:sz w:val="20"/>
              </w:rPr>
              <w:t>295.50</w:t>
            </w:r>
          </w:p>
        </w:tc>
        <w:tc>
          <w:tcPr>
            <w:tcW w:w="851" w:type="dxa"/>
            <w:shd w:val="clear" w:color="auto" w:fill="auto"/>
          </w:tcPr>
          <w:p w:rsidR="006341C8" w:rsidRPr="00BD0A86" w:rsidRDefault="006341C8" w:rsidP="00F365F9">
            <w:pPr>
              <w:spacing w:after="60" w:line="240" w:lineRule="auto"/>
              <w:ind w:firstLine="0"/>
              <w:rPr>
                <w:sz w:val="20"/>
              </w:rPr>
            </w:pPr>
            <w:r w:rsidRPr="00BD0A86">
              <w:rPr>
                <w:sz w:val="20"/>
              </w:rPr>
              <w:t>295.50</w:t>
            </w:r>
          </w:p>
        </w:tc>
        <w:tc>
          <w:tcPr>
            <w:tcW w:w="850" w:type="dxa"/>
            <w:shd w:val="clear" w:color="auto" w:fill="auto"/>
          </w:tcPr>
          <w:p w:rsidR="006341C8" w:rsidRPr="00BD0A86" w:rsidRDefault="006341C8" w:rsidP="00F365F9">
            <w:pPr>
              <w:spacing w:after="60" w:line="240" w:lineRule="auto"/>
              <w:ind w:firstLine="0"/>
              <w:rPr>
                <w:sz w:val="20"/>
              </w:rPr>
            </w:pPr>
            <w:r w:rsidRPr="00BD0A86">
              <w:rPr>
                <w:sz w:val="20"/>
              </w:rPr>
              <w:t>295.50</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Recarga inducida</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11.63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11.39</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11.16</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10.30</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8.81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7.84</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6.97</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6.41</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Volumen comprometido</w:t>
            </w:r>
          </w:p>
        </w:tc>
        <w:tc>
          <w:tcPr>
            <w:tcW w:w="993"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-122.45</w:t>
            </w:r>
          </w:p>
        </w:tc>
        <w:tc>
          <w:tcPr>
            <w:tcW w:w="850"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-123.91</w:t>
            </w:r>
          </w:p>
        </w:tc>
        <w:tc>
          <w:tcPr>
            <w:tcW w:w="851"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-125.36</w:t>
            </w:r>
          </w:p>
        </w:tc>
        <w:tc>
          <w:tcPr>
            <w:tcW w:w="850"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-131.17</w:t>
            </w:r>
          </w:p>
        </w:tc>
        <w:tc>
          <w:tcPr>
            <w:tcW w:w="851"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-142.80</w:t>
            </w:r>
          </w:p>
        </w:tc>
        <w:tc>
          <w:tcPr>
            <w:tcW w:w="850"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-151.52</w:t>
            </w:r>
          </w:p>
        </w:tc>
        <w:tc>
          <w:tcPr>
            <w:tcW w:w="851"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-160.24</w:t>
            </w:r>
          </w:p>
        </w:tc>
        <w:tc>
          <w:tcPr>
            <w:tcW w:w="850" w:type="dxa"/>
            <w:shd w:val="clear" w:color="auto" w:fill="auto"/>
            <w:vAlign w:val="center"/>
          </w:tcPr>
          <w:p w:rsidR="000117C4" w:rsidRPr="00BD0A86" w:rsidRDefault="006341C8" w:rsidP="00F365F9">
            <w:pPr>
              <w:spacing w:after="60" w:line="240" w:lineRule="auto"/>
              <w:ind w:firstLine="0"/>
              <w:jc w:val="center"/>
              <w:rPr>
                <w:sz w:val="18"/>
                <w:szCs w:val="18"/>
              </w:rPr>
            </w:pPr>
            <w:r w:rsidRPr="00BD0A86">
              <w:rPr>
                <w:sz w:val="18"/>
                <w:szCs w:val="18"/>
              </w:rPr>
              <w:t>-166.05</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Retorno urbano</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2.69</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2.68</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2.67</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2.61</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2.44</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2.25</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2.04</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1.87</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Retornos agrícolas</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8.94</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8.72</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8.50</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7.69</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6.38</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5.59</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4.93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4.54</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Agua residual urbana recolectada</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4.25</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4.43</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4.61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5.36</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7.00</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8.32</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9.72</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10.60</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Agua residual tratada producida</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0.20</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0.31</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0.43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0.99</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2.59</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4.23</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6.30</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7.85</w:t>
            </w:r>
          </w:p>
        </w:tc>
      </w:tr>
      <w:tr w:rsidR="000117C4" w:rsidRPr="00BD0A86" w:rsidTr="00BD0A86">
        <w:tc>
          <w:tcPr>
            <w:tcW w:w="2943" w:type="dxa"/>
            <w:shd w:val="clear" w:color="auto" w:fill="auto"/>
          </w:tcPr>
          <w:p w:rsidR="000117C4" w:rsidRPr="00BD0A86" w:rsidRDefault="000117C4" w:rsidP="00F365F9">
            <w:pPr>
              <w:spacing w:after="60" w:line="240" w:lineRule="auto"/>
              <w:ind w:firstLine="0"/>
              <w:jc w:val="left"/>
              <w:rPr>
                <w:sz w:val="20"/>
              </w:rPr>
            </w:pPr>
            <w:r w:rsidRPr="00BD0A86">
              <w:rPr>
                <w:sz w:val="20"/>
              </w:rPr>
              <w:t>Agua residual urbana sin tratar</w:t>
            </w:r>
          </w:p>
        </w:tc>
        <w:tc>
          <w:tcPr>
            <w:tcW w:w="993"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4.05</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4.12</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4.18</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4.37</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4.41</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4.09</w:t>
            </w:r>
          </w:p>
        </w:tc>
        <w:tc>
          <w:tcPr>
            <w:tcW w:w="851"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3.43</w:t>
            </w:r>
          </w:p>
        </w:tc>
        <w:tc>
          <w:tcPr>
            <w:tcW w:w="850" w:type="dxa"/>
            <w:shd w:val="clear" w:color="auto" w:fill="auto"/>
            <w:vAlign w:val="center"/>
          </w:tcPr>
          <w:p w:rsidR="000117C4" w:rsidRPr="00BD0A86" w:rsidRDefault="006341C8" w:rsidP="00F365F9">
            <w:pPr>
              <w:spacing w:after="60" w:line="240" w:lineRule="auto"/>
              <w:ind w:firstLine="0"/>
              <w:jc w:val="center"/>
              <w:rPr>
                <w:sz w:val="20"/>
              </w:rPr>
            </w:pPr>
            <w:r w:rsidRPr="00BD0A86">
              <w:rPr>
                <w:sz w:val="20"/>
              </w:rPr>
              <w:t>2.76</w:t>
            </w:r>
          </w:p>
        </w:tc>
      </w:tr>
    </w:tbl>
    <w:p w:rsidR="000117C4" w:rsidRDefault="000117C4" w:rsidP="00804104"/>
    <w:p w:rsidR="008A3D02" w:rsidRDefault="002A2183" w:rsidP="00804104">
      <w:pPr>
        <w:rPr>
          <w:rFonts w:cs="Arial"/>
          <w:szCs w:val="22"/>
        </w:rPr>
      </w:pPr>
      <w:r>
        <w:t>Por su parte, la recarga natural bajo un escenario de máxima tecnificación no sufriría cambio alguno, ni por parte de la recarga por precipitación en el valle, ni por las entra</w:t>
      </w:r>
      <w:r w:rsidR="001412BB">
        <w:t>das horizontales de las sierras</w:t>
      </w:r>
      <w:r>
        <w:t xml:space="preserve"> ni las que provienen del acuífero de Huamantla, por lo tanto</w:t>
      </w:r>
      <w:r w:rsidR="001412BB">
        <w:t>,</w:t>
      </w:r>
      <w:r>
        <w:t xml:space="preserve"> la recarga natural quedaría en 295 hm³/año a lo largo de todo el periodo de planeación. Abría que tomar en cuenta que a la oferta total de agua subterránea descrita no se le han descontado los volúmenes naturales comprometidos, los cuales en 2010 son de entre 113 y 122 hm³</w:t>
      </w:r>
      <w:r w:rsidR="00C042D0">
        <w:t>,</w:t>
      </w:r>
      <w:r>
        <w:t xml:space="preserve"> y para el 2040 se tiene contemplado que estos se incrementen gradua</w:t>
      </w:r>
      <w:r w:rsidR="00C042D0">
        <w:t>lmente hasta alcanzar 166.1 hm³,</w:t>
      </w:r>
      <w:r>
        <w:t xml:space="preserve"> esto debido a que los niveles estáticos al alcanzar niveles cercanos al metro de profundidad, provocarían que la </w:t>
      </w:r>
      <w:r>
        <w:lastRenderedPageBreak/>
        <w:t xml:space="preserve">evapotranspiración freática se incremente gradualmente hasta alcanzar su máximo en el año 2040 (143 hm³ volumen similar al </w:t>
      </w:r>
      <w:proofErr w:type="spellStart"/>
      <w:r>
        <w:t>evapotranspirado</w:t>
      </w:r>
      <w:proofErr w:type="spellEnd"/>
      <w:r>
        <w:t xml:space="preserve"> en el año de 1996) y que beneficiarían a los ecosistemas lagunares; por otro lado, las salidas horizontales a los acuíferos de Perote-</w:t>
      </w:r>
      <w:r w:rsidR="00106565">
        <w:t>Zalayeta</w:t>
      </w:r>
      <w:r>
        <w:t xml:space="preserve">, Ver. </w:t>
      </w:r>
      <w:proofErr w:type="gramStart"/>
      <w:r>
        <w:t>y</w:t>
      </w:r>
      <w:proofErr w:type="gramEnd"/>
      <w:r>
        <w:t xml:space="preserve"> Valle de Tecamachalco, </w:t>
      </w:r>
      <w:proofErr w:type="spellStart"/>
      <w:r>
        <w:t>Pue</w:t>
      </w:r>
      <w:proofErr w:type="spellEnd"/>
      <w:r>
        <w:t xml:space="preserve">. </w:t>
      </w:r>
      <w:proofErr w:type="gramStart"/>
      <w:r>
        <w:t>se</w:t>
      </w:r>
      <w:proofErr w:type="gramEnd"/>
      <w:r>
        <w:t xml:space="preserve"> mantendrían sin cambios (22.3 hm³/año). De esta forma tenemos que la oferta total a</w:t>
      </w:r>
      <w:r w:rsidR="00C042D0">
        <w:t>provechable del acuífero Libres–</w:t>
      </w:r>
      <w:r>
        <w:t>Oriental pasaría de 184.68 hm³ en 2</w:t>
      </w:r>
      <w:r w:rsidR="001412BB">
        <w:t xml:space="preserve">010 a 135.86 hm³ en el año 2040 </w:t>
      </w:r>
      <w:r>
        <w:t>como resultado de ceder agua en beneficio de los ecosistemas lagunares que actualmente se encuentran en peligro de desaparecer.</w:t>
      </w:r>
    </w:p>
    <w:p w:rsidR="00C042D0" w:rsidRDefault="00C042D0" w:rsidP="00C042D0">
      <w:r>
        <w:rPr>
          <w:rFonts w:cs="Arial"/>
          <w:szCs w:val="22"/>
        </w:rPr>
        <w:t xml:space="preserve">En términos de agua residual con y sin tratamiento, </w:t>
      </w:r>
      <w:r>
        <w:t>se aspira a alcanzar una cobertura de tratamiento del 74% en el 2040, mientras que la cobertura de alcantarillado podría llegar al 90.2%, por lo que al final del periodo de planeación (2040) se estaría recolectando un volumen de 10.60 hm³ de aguas residuales municipales (actualmente se recolecta 4.25 hm³), por lo que al tratarse el 74% de esta agua se tendría un volumen producido de agua residual tratada de 7.85 hm³ (actualmente en el 2010 es de 0 hm³) y por lo tanto quedaría un volumen sin tratar de aproximadamente de 2.76 hm³ (actualmente es de 4.25 hm³).</w:t>
      </w:r>
    </w:p>
    <w:p w:rsidR="008A3D02" w:rsidRDefault="00C042D0" w:rsidP="00804104">
      <w:pPr>
        <w:rPr>
          <w:rFonts w:cs="Arial"/>
          <w:szCs w:val="22"/>
        </w:rPr>
      </w:pPr>
      <w:r>
        <w:rPr>
          <w:rFonts w:cs="Arial"/>
          <w:szCs w:val="22"/>
        </w:rPr>
        <w:t xml:space="preserve">Por lo anterior, la oferta total de agua aprovechable al año 2040 es de </w:t>
      </w:r>
      <w:r>
        <w:t>221.46 hm³, cuando en el 2010 es de entre 236 y 241</w:t>
      </w:r>
      <w:r w:rsidRPr="00C042D0">
        <w:t xml:space="preserve"> </w:t>
      </w:r>
      <w:r>
        <w:t>hm³. El decremento se debe básicamente a que la descarga comprometida como evapotranspiración de los ecosistemas acuáticos se incrementaría hasta alcanzar los valores que tenía en el año de 1996, en donde las lagunas presentaban almacenamiento en todo el año; esta reducción de la oferta sería en beneficio de la biodiversidad de los ecosistemas lagunares.</w:t>
      </w:r>
    </w:p>
    <w:p w:rsidR="00A6400E" w:rsidRPr="00D22D14" w:rsidRDefault="00D22D14" w:rsidP="008011C2">
      <w:pPr>
        <w:outlineLvl w:val="0"/>
        <w:rPr>
          <w:rFonts w:cs="Arial"/>
          <w:b/>
          <w:szCs w:val="22"/>
          <w:lang w:val="es-ES_tradnl"/>
        </w:rPr>
      </w:pPr>
      <w:r w:rsidRPr="00D22D14">
        <w:rPr>
          <w:rFonts w:cs="Arial"/>
          <w:b/>
          <w:szCs w:val="22"/>
        </w:rPr>
        <w:t xml:space="preserve">Proyección de disponibilidad. Escenario </w:t>
      </w:r>
      <w:r w:rsidRPr="00D22D14">
        <w:rPr>
          <w:rFonts w:cs="Arial"/>
          <w:b/>
          <w:szCs w:val="22"/>
          <w:lang w:val="es-ES_tradnl"/>
        </w:rPr>
        <w:t xml:space="preserve">Inercial. </w:t>
      </w:r>
      <w:r w:rsidR="00A6400E" w:rsidRPr="00D22D14">
        <w:rPr>
          <w:rFonts w:cs="Arial"/>
          <w:b/>
          <w:szCs w:val="22"/>
          <w:lang w:val="es-ES_tradnl"/>
        </w:rPr>
        <w:t>Acuífero Perote-Zalayeta</w:t>
      </w:r>
    </w:p>
    <w:p w:rsidR="00385A0E" w:rsidRDefault="00A6400E" w:rsidP="00385A0E">
      <w:r>
        <w:t xml:space="preserve">La zona de estudio presenta precipitaciones importantes en las sierras que delimitan la cuenca en cuestión, sin embargo, </w:t>
      </w:r>
      <w:r w:rsidR="00D22D14">
        <w:t>son</w:t>
      </w:r>
      <w:r>
        <w:t xml:space="preserve"> de carácter estacional por lo cual las corrientes serranas que delimitan al valle son de carácter intermitente; por otra parte, la geología de los materiales que rellenan al valle (</w:t>
      </w:r>
      <w:proofErr w:type="spellStart"/>
      <w:r>
        <w:t>piroclastos</w:t>
      </w:r>
      <w:proofErr w:type="spellEnd"/>
      <w:r>
        <w:t xml:space="preserve">) al ser muy permeables provocan que el agua de los arroyos cuando llegan al valle se infiltren. Aunque existen una serie de arroyos perennes, cuyo escurrimiento virgen conjunto es de 26.6 hm³/año, existen algunos escurrimientos que no se aprovecha porque ocurren en la parte más baja de la cuenca (zona de </w:t>
      </w:r>
      <w:proofErr w:type="spellStart"/>
      <w:r>
        <w:t>Altotonga</w:t>
      </w:r>
      <w:proofErr w:type="spellEnd"/>
      <w:r>
        <w:t>).</w:t>
      </w:r>
      <w:r w:rsidR="00385A0E">
        <w:t xml:space="preserve"> Bajo un escenario inercial el escurrimiento se mantendría sin cambios a lo largo de todo el periodo de planeación.</w:t>
      </w:r>
    </w:p>
    <w:p w:rsidR="00385A0E" w:rsidRDefault="00385A0E" w:rsidP="00385A0E">
      <w:r>
        <w:t>Para el año 2010 la recarga natural del acuífero Perote-</w:t>
      </w:r>
      <w:r w:rsidR="00106565">
        <w:t>Zalayeta</w:t>
      </w:r>
      <w:r>
        <w:t xml:space="preserve"> es de 153.7 hm³, los retornos urbanos son de 2.0 hm³ y los agrícolas de 0.6 hm³; por lo tanto</w:t>
      </w:r>
      <w:r w:rsidR="00D22D14">
        <w:t>,</w:t>
      </w:r>
      <w:r>
        <w:t xml:space="preserve"> la oferta total de agua subterránea es de 156.4 hm³. Bajo un escenario inercial, con las mismas eficiencias físicas en los sistemas de agua potable y en los sistemas de riego, se tendría que al final del periodo de planeación, los retor</w:t>
      </w:r>
      <w:r w:rsidR="00D22D14">
        <w:t>nos urbanos al acuífero aumenten gradualmente hasta alcanzar los 3.5 hm³; po</w:t>
      </w:r>
      <w:r>
        <w:t>r otra parte, abría un ligero aumento en los retornos agrícolas, ya que se incrementaría la superficie agrícola de riego en alrededor de 1</w:t>
      </w:r>
      <w:r w:rsidR="00CE74ED">
        <w:t>0</w:t>
      </w:r>
      <w:r>
        <w:t>00 ha</w:t>
      </w:r>
      <w:r w:rsidR="00D22D14">
        <w:t>,</w:t>
      </w:r>
      <w:r>
        <w:t xml:space="preserve"> y como se mantendrían los mismos niveles de eficiencia global (80.8%), produciría un retorno inducido agrícola de 0.7 hm³. Por su parte, la recarga natural también sufriría una reducción gradual, debido a que bajo un escenario inercial al incrementarse la extracción en el acuífero de Libres-Oriental habría un descenso en el espesor saturado del acuífero, y por lo tanto, el volumen que se transfiere subterráneamente de éste al de Perote-</w:t>
      </w:r>
      <w:r w:rsidR="00106565">
        <w:lastRenderedPageBreak/>
        <w:t>Zalayeta</w:t>
      </w:r>
      <w:r>
        <w:t xml:space="preserve"> también se reduce gradualmente, por lo que la recarga natural pasaría de 153.7 hm³ en 2010 a 152.4 hm³ en 2040. Finalmente, la oferta total de agua subterránea, pasaría de 156.4 hm³ en 2010 a 156.6 hm³ en 2040, es decir</w:t>
      </w:r>
      <w:r w:rsidR="00D22D14">
        <w:t>,</w:t>
      </w:r>
      <w:r>
        <w:t xml:space="preserve"> abría un aumento de 0.23 hm</w:t>
      </w:r>
      <w:r>
        <w:rPr>
          <w:vertAlign w:val="superscript"/>
        </w:rPr>
        <w:t>3</w:t>
      </w:r>
      <w:r>
        <w:t xml:space="preserve">. </w:t>
      </w:r>
      <w:r w:rsidR="00D22D14">
        <w:t>Debe tomarse</w:t>
      </w:r>
      <w:r>
        <w:t xml:space="preserve"> en cuenta que a la oferta total de agua subterránea descrita no se le han descontado los volúmenes naturales comprometidos, los cuales en 2010 son de 74.8 hm³ y para el 2040 se tiene contemplado que estos disminuyan gradualmente hasta alcanzar 73.7 hm³, esto debido a que se incrementaría la extracción de agua subterránea al aumentarse la superficie agrícola de riego y al aumentar la población.</w:t>
      </w:r>
    </w:p>
    <w:p w:rsidR="00DF5AAA" w:rsidRDefault="00DF5AAA" w:rsidP="00E9158D">
      <w:pPr>
        <w:pStyle w:val="Tabla1cap6"/>
      </w:pPr>
      <w:r>
        <w:t>Síntesis de oferta total de agua aprovechable en el acuífero P</w:t>
      </w:r>
      <w:r w:rsidR="004B1A12">
        <w:t>erote-</w:t>
      </w:r>
      <w:r w:rsidR="00106565">
        <w:t>Zalayeta</w:t>
      </w:r>
      <w:r>
        <w:t xml:space="preserve"> (escenario inercial)</w:t>
      </w:r>
    </w:p>
    <w:tbl>
      <w:tblPr>
        <w:tblW w:w="0" w:type="auto"/>
        <w:tblBorders>
          <w:top w:val="single" w:sz="12" w:space="0" w:color="008000"/>
          <w:bottom w:val="single" w:sz="12" w:space="0" w:color="008000"/>
        </w:tblBorders>
        <w:tblLayout w:type="fixed"/>
        <w:tblLook w:val="04A0"/>
      </w:tblPr>
      <w:tblGrid>
        <w:gridCol w:w="2943"/>
        <w:gridCol w:w="993"/>
        <w:gridCol w:w="850"/>
        <w:gridCol w:w="851"/>
        <w:gridCol w:w="850"/>
        <w:gridCol w:w="851"/>
        <w:gridCol w:w="850"/>
        <w:gridCol w:w="851"/>
        <w:gridCol w:w="850"/>
      </w:tblGrid>
      <w:tr w:rsidR="00DF5AAA" w:rsidRPr="00BD0A86" w:rsidTr="00BD0A86">
        <w:tc>
          <w:tcPr>
            <w:tcW w:w="2943" w:type="dxa"/>
            <w:tcBorders>
              <w:bottom w:val="single" w:sz="6" w:space="0" w:color="008000"/>
            </w:tcBorders>
            <w:shd w:val="clear" w:color="auto" w:fill="auto"/>
          </w:tcPr>
          <w:p w:rsidR="00DF5AAA" w:rsidRPr="00BD0A86" w:rsidRDefault="00DF5AAA" w:rsidP="00F365F9">
            <w:pPr>
              <w:spacing w:after="60" w:line="240" w:lineRule="auto"/>
              <w:ind w:firstLine="0"/>
              <w:rPr>
                <w:sz w:val="20"/>
              </w:rPr>
            </w:pPr>
            <w:r w:rsidRPr="00BD0A86">
              <w:rPr>
                <w:sz w:val="20"/>
              </w:rPr>
              <w:t>Periodo de Planeación</w:t>
            </w:r>
          </w:p>
        </w:tc>
        <w:tc>
          <w:tcPr>
            <w:tcW w:w="993"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2010</w:t>
            </w:r>
          </w:p>
        </w:tc>
        <w:tc>
          <w:tcPr>
            <w:tcW w:w="850"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2011</w:t>
            </w:r>
          </w:p>
        </w:tc>
        <w:tc>
          <w:tcPr>
            <w:tcW w:w="851"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2012</w:t>
            </w:r>
          </w:p>
        </w:tc>
        <w:tc>
          <w:tcPr>
            <w:tcW w:w="850"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2018</w:t>
            </w:r>
          </w:p>
        </w:tc>
        <w:tc>
          <w:tcPr>
            <w:tcW w:w="851"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2024</w:t>
            </w:r>
          </w:p>
        </w:tc>
        <w:tc>
          <w:tcPr>
            <w:tcW w:w="850"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2030</w:t>
            </w:r>
          </w:p>
        </w:tc>
        <w:tc>
          <w:tcPr>
            <w:tcW w:w="851"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2036</w:t>
            </w:r>
          </w:p>
        </w:tc>
        <w:tc>
          <w:tcPr>
            <w:tcW w:w="850" w:type="dxa"/>
            <w:tcBorders>
              <w:bottom w:val="single" w:sz="6" w:space="0" w:color="008000"/>
            </w:tcBorders>
            <w:shd w:val="clear" w:color="auto" w:fill="auto"/>
          </w:tcPr>
          <w:p w:rsidR="00DF5AAA" w:rsidRPr="00BD0A86" w:rsidRDefault="00DF5AAA" w:rsidP="00F365F9">
            <w:pPr>
              <w:spacing w:after="60" w:line="240" w:lineRule="auto"/>
              <w:ind w:firstLine="0"/>
              <w:jc w:val="center"/>
              <w:rPr>
                <w:sz w:val="20"/>
              </w:rPr>
            </w:pPr>
            <w:r w:rsidRPr="00BD0A86">
              <w:rPr>
                <w:sz w:val="20"/>
              </w:rPr>
              <w:t>2040</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 xml:space="preserve">Oferta aprovechable de agua subterránea </w:t>
            </w:r>
          </w:p>
        </w:tc>
        <w:tc>
          <w:tcPr>
            <w:tcW w:w="993"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81.57</w:t>
            </w:r>
          </w:p>
        </w:tc>
        <w:tc>
          <w:tcPr>
            <w:tcW w:w="850"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81.63</w:t>
            </w:r>
          </w:p>
        </w:tc>
        <w:tc>
          <w:tcPr>
            <w:tcW w:w="851"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81.68</w:t>
            </w:r>
          </w:p>
        </w:tc>
        <w:tc>
          <w:tcPr>
            <w:tcW w:w="850"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81.98</w:t>
            </w:r>
          </w:p>
        </w:tc>
        <w:tc>
          <w:tcPr>
            <w:tcW w:w="851"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82.27</w:t>
            </w:r>
          </w:p>
        </w:tc>
        <w:tc>
          <w:tcPr>
            <w:tcW w:w="850"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82.55</w:t>
            </w:r>
          </w:p>
        </w:tc>
        <w:tc>
          <w:tcPr>
            <w:tcW w:w="851"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82.80</w:t>
            </w:r>
          </w:p>
        </w:tc>
        <w:tc>
          <w:tcPr>
            <w:tcW w:w="850" w:type="dxa"/>
            <w:shd w:val="clear" w:color="auto" w:fill="auto"/>
            <w:vAlign w:val="center"/>
          </w:tcPr>
          <w:p w:rsidR="00DF5AAA" w:rsidRPr="00BD0A86" w:rsidRDefault="00DF5AAA" w:rsidP="00F365F9">
            <w:pPr>
              <w:spacing w:after="60" w:line="240" w:lineRule="auto"/>
              <w:ind w:firstLine="0"/>
              <w:jc w:val="center"/>
              <w:rPr>
                <w:sz w:val="20"/>
              </w:rPr>
            </w:pPr>
            <w:r w:rsidRPr="00BD0A86">
              <w:rPr>
                <w:sz w:val="20"/>
              </w:rPr>
              <w:t>82.92</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rFonts w:eastAsia="Calibri"/>
                <w:sz w:val="20"/>
              </w:rPr>
              <w:t xml:space="preserve">Oferta aprovechable de agua </w:t>
            </w:r>
            <w:r w:rsidRPr="00BD0A86">
              <w:rPr>
                <w:sz w:val="20"/>
              </w:rPr>
              <w:t>superficial</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26.60</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rFonts w:eastAsia="Calibri"/>
                <w:sz w:val="20"/>
              </w:rPr>
            </w:pPr>
            <w:r w:rsidRPr="00BD0A86">
              <w:rPr>
                <w:rFonts w:eastAsia="Calibri"/>
                <w:sz w:val="20"/>
              </w:rPr>
              <w:t>Oferta total aprovechable</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113.16</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113.34</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113.51</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114.54</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115.54</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116.48</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117.33</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117.74</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Recarga natural</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153.71</w:t>
            </w:r>
          </w:p>
        </w:tc>
        <w:tc>
          <w:tcPr>
            <w:tcW w:w="850" w:type="dxa"/>
            <w:shd w:val="clear" w:color="auto" w:fill="auto"/>
          </w:tcPr>
          <w:p w:rsidR="00DF5AAA" w:rsidRPr="00BD0A86" w:rsidRDefault="004B1A12" w:rsidP="00F365F9">
            <w:pPr>
              <w:spacing w:after="60" w:line="240" w:lineRule="auto"/>
              <w:ind w:firstLine="0"/>
              <w:rPr>
                <w:sz w:val="20"/>
              </w:rPr>
            </w:pPr>
            <w:r w:rsidRPr="00BD0A86">
              <w:rPr>
                <w:sz w:val="20"/>
              </w:rPr>
              <w:t>153.67</w:t>
            </w:r>
          </w:p>
        </w:tc>
        <w:tc>
          <w:tcPr>
            <w:tcW w:w="851" w:type="dxa"/>
            <w:shd w:val="clear" w:color="auto" w:fill="auto"/>
          </w:tcPr>
          <w:p w:rsidR="00DF5AAA" w:rsidRPr="00BD0A86" w:rsidRDefault="004B1A12" w:rsidP="00F365F9">
            <w:pPr>
              <w:spacing w:after="60" w:line="240" w:lineRule="auto"/>
              <w:ind w:firstLine="0"/>
              <w:rPr>
                <w:sz w:val="20"/>
              </w:rPr>
            </w:pPr>
            <w:r w:rsidRPr="00BD0A86">
              <w:rPr>
                <w:sz w:val="20"/>
              </w:rPr>
              <w:t>153.63</w:t>
            </w:r>
          </w:p>
        </w:tc>
        <w:tc>
          <w:tcPr>
            <w:tcW w:w="850" w:type="dxa"/>
            <w:shd w:val="clear" w:color="auto" w:fill="auto"/>
          </w:tcPr>
          <w:p w:rsidR="00DF5AAA" w:rsidRPr="00BD0A86" w:rsidRDefault="004B1A12" w:rsidP="00F365F9">
            <w:pPr>
              <w:spacing w:after="60" w:line="240" w:lineRule="auto"/>
              <w:ind w:firstLine="0"/>
              <w:rPr>
                <w:sz w:val="20"/>
              </w:rPr>
            </w:pPr>
            <w:r w:rsidRPr="00BD0A86">
              <w:rPr>
                <w:sz w:val="20"/>
              </w:rPr>
              <w:t>153.36</w:t>
            </w:r>
          </w:p>
        </w:tc>
        <w:tc>
          <w:tcPr>
            <w:tcW w:w="851" w:type="dxa"/>
            <w:shd w:val="clear" w:color="auto" w:fill="auto"/>
          </w:tcPr>
          <w:p w:rsidR="00DF5AAA" w:rsidRPr="00BD0A86" w:rsidRDefault="004B1A12" w:rsidP="00F365F9">
            <w:pPr>
              <w:spacing w:after="60" w:line="240" w:lineRule="auto"/>
              <w:ind w:firstLine="0"/>
              <w:rPr>
                <w:sz w:val="20"/>
              </w:rPr>
            </w:pPr>
            <w:r w:rsidRPr="00BD0A86">
              <w:rPr>
                <w:sz w:val="20"/>
              </w:rPr>
              <w:t>153.10</w:t>
            </w:r>
          </w:p>
        </w:tc>
        <w:tc>
          <w:tcPr>
            <w:tcW w:w="850" w:type="dxa"/>
            <w:shd w:val="clear" w:color="auto" w:fill="auto"/>
          </w:tcPr>
          <w:p w:rsidR="00DF5AAA" w:rsidRPr="00BD0A86" w:rsidRDefault="004B1A12" w:rsidP="00F365F9">
            <w:pPr>
              <w:spacing w:after="60" w:line="240" w:lineRule="auto"/>
              <w:ind w:firstLine="0"/>
              <w:rPr>
                <w:sz w:val="20"/>
              </w:rPr>
            </w:pPr>
            <w:r w:rsidRPr="00BD0A86">
              <w:rPr>
                <w:sz w:val="20"/>
              </w:rPr>
              <w:t>152.84</w:t>
            </w:r>
          </w:p>
        </w:tc>
        <w:tc>
          <w:tcPr>
            <w:tcW w:w="851" w:type="dxa"/>
            <w:shd w:val="clear" w:color="auto" w:fill="auto"/>
          </w:tcPr>
          <w:p w:rsidR="00DF5AAA" w:rsidRPr="00BD0A86" w:rsidRDefault="004B1A12" w:rsidP="00F365F9">
            <w:pPr>
              <w:spacing w:after="60" w:line="240" w:lineRule="auto"/>
              <w:ind w:firstLine="0"/>
              <w:rPr>
                <w:sz w:val="20"/>
              </w:rPr>
            </w:pPr>
            <w:r w:rsidRPr="00BD0A86">
              <w:rPr>
                <w:sz w:val="20"/>
              </w:rPr>
              <w:t>152.58</w:t>
            </w:r>
          </w:p>
        </w:tc>
        <w:tc>
          <w:tcPr>
            <w:tcW w:w="850" w:type="dxa"/>
            <w:shd w:val="clear" w:color="auto" w:fill="auto"/>
          </w:tcPr>
          <w:p w:rsidR="00DF5AAA" w:rsidRPr="00BD0A86" w:rsidRDefault="004B1A12" w:rsidP="00F365F9">
            <w:pPr>
              <w:spacing w:after="60" w:line="240" w:lineRule="auto"/>
              <w:ind w:firstLine="0"/>
              <w:rPr>
                <w:sz w:val="20"/>
              </w:rPr>
            </w:pPr>
            <w:r w:rsidRPr="00BD0A86">
              <w:rPr>
                <w:sz w:val="20"/>
              </w:rPr>
              <w:t>152.40</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Recarga inducida</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2.67</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2.73</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2.79</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3.13</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3.47</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3.78</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4.07</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4.22</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Volumen comprometido</w:t>
            </w:r>
          </w:p>
        </w:tc>
        <w:tc>
          <w:tcPr>
            <w:tcW w:w="993"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-74.81</w:t>
            </w:r>
          </w:p>
        </w:tc>
        <w:tc>
          <w:tcPr>
            <w:tcW w:w="850"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-74.77</w:t>
            </w:r>
          </w:p>
        </w:tc>
        <w:tc>
          <w:tcPr>
            <w:tcW w:w="851"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-74.74</w:t>
            </w:r>
          </w:p>
        </w:tc>
        <w:tc>
          <w:tcPr>
            <w:tcW w:w="850"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-74.51</w:t>
            </w:r>
          </w:p>
        </w:tc>
        <w:tc>
          <w:tcPr>
            <w:tcW w:w="851"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-74.29</w:t>
            </w:r>
          </w:p>
        </w:tc>
        <w:tc>
          <w:tcPr>
            <w:tcW w:w="850"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-74.07</w:t>
            </w:r>
          </w:p>
        </w:tc>
        <w:tc>
          <w:tcPr>
            <w:tcW w:w="851"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-73.85</w:t>
            </w:r>
          </w:p>
        </w:tc>
        <w:tc>
          <w:tcPr>
            <w:tcW w:w="850" w:type="dxa"/>
            <w:shd w:val="clear" w:color="auto" w:fill="auto"/>
            <w:vAlign w:val="center"/>
          </w:tcPr>
          <w:p w:rsidR="00DF5AAA" w:rsidRPr="00BD0A86" w:rsidRDefault="004B1A12" w:rsidP="00F365F9">
            <w:pPr>
              <w:spacing w:after="60" w:line="240" w:lineRule="auto"/>
              <w:ind w:firstLine="0"/>
              <w:jc w:val="center"/>
              <w:rPr>
                <w:sz w:val="18"/>
                <w:szCs w:val="18"/>
              </w:rPr>
            </w:pPr>
            <w:r w:rsidRPr="00BD0A86">
              <w:rPr>
                <w:sz w:val="18"/>
                <w:szCs w:val="18"/>
              </w:rPr>
              <w:t>-73.70</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Retorno urbano</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2.00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2.17</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2.22</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2.53</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2.83</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3.11</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3.36</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3.49</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Retornos agrícolas</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0.55</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0.56</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0.57</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0.60</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0.64</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0.67</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0.71</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0.73</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Agua residual urbana recolectada</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4.99</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5.11</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5.23</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5.96</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6.67</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7.33</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7.93</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8.22</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Agua residual tratada producida</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0.11</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0.17</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0.23</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0.65</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1.17</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1.76</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2.43</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2.88</w:t>
            </w:r>
          </w:p>
        </w:tc>
      </w:tr>
      <w:tr w:rsidR="00DF5AAA" w:rsidRPr="00BD0A86" w:rsidTr="00BD0A86">
        <w:tc>
          <w:tcPr>
            <w:tcW w:w="2943" w:type="dxa"/>
            <w:shd w:val="clear" w:color="auto" w:fill="auto"/>
          </w:tcPr>
          <w:p w:rsidR="00DF5AAA" w:rsidRPr="00BD0A86" w:rsidRDefault="00DF5AAA" w:rsidP="00F365F9">
            <w:pPr>
              <w:spacing w:after="60" w:line="240" w:lineRule="auto"/>
              <w:ind w:firstLine="0"/>
              <w:jc w:val="left"/>
              <w:rPr>
                <w:sz w:val="20"/>
              </w:rPr>
            </w:pPr>
            <w:r w:rsidRPr="00BD0A86">
              <w:rPr>
                <w:sz w:val="20"/>
              </w:rPr>
              <w:t>Agua residual urbana sin tratar</w:t>
            </w:r>
          </w:p>
        </w:tc>
        <w:tc>
          <w:tcPr>
            <w:tcW w:w="993"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4.88</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4.94</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5.00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5.31</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5.50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5.57</w:t>
            </w:r>
          </w:p>
        </w:tc>
        <w:tc>
          <w:tcPr>
            <w:tcW w:w="851"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5.50</w:t>
            </w:r>
          </w:p>
        </w:tc>
        <w:tc>
          <w:tcPr>
            <w:tcW w:w="850" w:type="dxa"/>
            <w:shd w:val="clear" w:color="auto" w:fill="auto"/>
            <w:vAlign w:val="center"/>
          </w:tcPr>
          <w:p w:rsidR="00DF5AAA" w:rsidRPr="00BD0A86" w:rsidRDefault="004B1A12" w:rsidP="00F365F9">
            <w:pPr>
              <w:spacing w:after="60" w:line="240" w:lineRule="auto"/>
              <w:ind w:firstLine="0"/>
              <w:jc w:val="center"/>
              <w:rPr>
                <w:sz w:val="20"/>
              </w:rPr>
            </w:pPr>
            <w:r w:rsidRPr="00BD0A86">
              <w:rPr>
                <w:sz w:val="20"/>
              </w:rPr>
              <w:t>5.35</w:t>
            </w:r>
          </w:p>
        </w:tc>
      </w:tr>
    </w:tbl>
    <w:p w:rsidR="00DF5AAA" w:rsidRDefault="00DF5AAA" w:rsidP="00385A0E">
      <w:pPr>
        <w:rPr>
          <w:sz w:val="20"/>
        </w:rPr>
      </w:pPr>
    </w:p>
    <w:p w:rsidR="00385A0E" w:rsidRDefault="00385A0E" w:rsidP="00385A0E">
      <w:r>
        <w:t>Las salidas horizontales, también se verían afectadas, debido a que se reduciría gradualmente el espesor saturado del acuífero, por lo que las salidas subterráneas horizontales pasarían de 74.8 hm³ en 2010 a 73.7 hm³ en 2040. De esta forma tenemos que la oferta total aprovechable del acuífero Perote-</w:t>
      </w:r>
      <w:r w:rsidR="00106565">
        <w:t>Zalayeta</w:t>
      </w:r>
      <w:r>
        <w:t xml:space="preserve"> pasaría de 81.6 hm³ en 2010 a 82.9 hm³ en el año 2040. Este incremento es resultado de aumentar la superficie de riego y del aumento en el abastecimiento de la población, manteniendo el mismo porcentaje de pérdidas en las redes de agua potable urbanas.</w:t>
      </w:r>
    </w:p>
    <w:p w:rsidR="00D00B8F" w:rsidRPr="0083051F" w:rsidRDefault="00D00B8F" w:rsidP="00D00B8F">
      <w:r>
        <w:t xml:space="preserve">En términos de volúmenes de agua residual con y sin tratamiento, </w:t>
      </w:r>
      <w:r w:rsidRPr="0083051F">
        <w:t>la</w:t>
      </w:r>
      <w:r>
        <w:t>s localidades urbanas dentro de la</w:t>
      </w:r>
      <w:r w:rsidRPr="0083051F">
        <w:t xml:space="preserve"> zona de</w:t>
      </w:r>
      <w:r>
        <w:t xml:space="preserve"> Perote - </w:t>
      </w:r>
      <w:r w:rsidR="00106565">
        <w:t>Zalayeta</w:t>
      </w:r>
      <w:r>
        <w:t xml:space="preserve"> no tratan sus aguas residuales recolectadas. </w:t>
      </w:r>
      <w:r w:rsidR="00D22D14">
        <w:t>A</w:t>
      </w:r>
      <w:r>
        <w:t xml:space="preserve"> lo más que se podría aspirar en el tratamiento d</w:t>
      </w:r>
      <w:r w:rsidR="00D22D14">
        <w:t>e aguas residuales recolectadas</w:t>
      </w:r>
      <w:r>
        <w:t xml:space="preserve"> sería al 35% en el 2040, mientras que la cobertura de alcantarillado en localidades urbanas se mantendría en el mismo porcentaje (85.3%)</w:t>
      </w:r>
      <w:r w:rsidR="00D22D14">
        <w:t>,</w:t>
      </w:r>
      <w:r>
        <w:t xml:space="preserve"> por lo que al final del periodo de planeación (2040) se estaría recolectando un </w:t>
      </w:r>
      <w:r>
        <w:lastRenderedPageBreak/>
        <w:t xml:space="preserve">volumen de 8.22 hm³ de aguas residuales municipales (actualmente se recolecta 4.99 hm³), por </w:t>
      </w:r>
      <w:r w:rsidR="00D22D14">
        <w:t>y</w:t>
      </w:r>
      <w:r>
        <w:t xml:space="preserve"> al tratarse el 35% de esta agua se tendría un volumen producido de agua residual tratada de 2.88 hm³ (actualmente en el 2010 es de 0 hm³) </w:t>
      </w:r>
      <w:r w:rsidR="00D22D14">
        <w:t>quedando</w:t>
      </w:r>
      <w:r>
        <w:t xml:space="preserve"> un volumen sin tratar de aproximadamente 5.35 hm³ (actualmente es de 4.88 hm³).</w:t>
      </w:r>
    </w:p>
    <w:p w:rsidR="00A6400E" w:rsidRDefault="00D00B8F" w:rsidP="00A6400E">
      <w:r>
        <w:t>En conclusión, bajo un escenario inercial los volúmenes totales de agua aprovechable al año 2040 son de 117.7 hm³, cuando en el 2010 es de 113.2. El incremento se d</w:t>
      </w:r>
      <w:r w:rsidR="00D22D14">
        <w:t>ebe básicamente a tres factores:</w:t>
      </w:r>
      <w:r>
        <w:t xml:space="preserve"> por una parte</w:t>
      </w:r>
      <w:r w:rsidR="00D22D14">
        <w:t>,</w:t>
      </w:r>
      <w:r>
        <w:t xml:space="preserve"> el aumento de la población urbana al demandar más agua potable y al mantenerse los mismos porcentajes de pérdidas físicas en las redes provocan una mayor recarga inducida al acuífero; segundo, al aumentar la superficie agrícola de riego en un 33% provoca que también los retornos de riego al acuífero aumenten en la misma proporción; finalmente, al incrementarse la población urbana y mantenerse la misma cobertura de alcantarillado ocasiona que se incremente el agua residual recolectada y posteriormente el tratamiento de una parte de la misma. Obviamente al incrementarse la oferta total de agua, disminuye el volumen natural comprometido, principalmente en lo conducente a las salidas horizontales comprometidas.</w:t>
      </w:r>
    </w:p>
    <w:p w:rsidR="00D00B8F" w:rsidRPr="00757EC1" w:rsidRDefault="00D22D14" w:rsidP="00D00B8F">
      <w:pPr>
        <w:rPr>
          <w:rFonts w:cs="Arial"/>
          <w:b/>
          <w:szCs w:val="22"/>
          <w:lang w:val="es-ES_tradnl"/>
        </w:rPr>
      </w:pPr>
      <w:r w:rsidRPr="00757EC1">
        <w:rPr>
          <w:rFonts w:cs="Arial"/>
          <w:b/>
          <w:szCs w:val="22"/>
          <w:lang w:val="es-ES_tradnl"/>
        </w:rPr>
        <w:t xml:space="preserve">Proyección de disponibilidad. </w:t>
      </w:r>
      <w:r w:rsidR="00D00B8F" w:rsidRPr="00757EC1">
        <w:rPr>
          <w:rFonts w:cs="Arial"/>
          <w:b/>
          <w:szCs w:val="22"/>
          <w:lang w:val="es-ES_tradnl"/>
        </w:rPr>
        <w:t xml:space="preserve">Escenario </w:t>
      </w:r>
      <w:r w:rsidRPr="00757EC1">
        <w:rPr>
          <w:rFonts w:cs="Arial"/>
          <w:b/>
          <w:szCs w:val="22"/>
          <w:lang w:val="es-ES_tradnl"/>
        </w:rPr>
        <w:t>Máxima Tecnificación (Sustentable).</w:t>
      </w:r>
      <w:r w:rsidR="00D00B8F" w:rsidRPr="00757EC1">
        <w:rPr>
          <w:rFonts w:cs="Arial"/>
          <w:b/>
          <w:szCs w:val="22"/>
          <w:lang w:val="es-ES_tradnl"/>
        </w:rPr>
        <w:t xml:space="preserve"> Acuífero Perote-Zalayeta</w:t>
      </w:r>
    </w:p>
    <w:p w:rsidR="008A3D02" w:rsidRPr="00D00B8F" w:rsidRDefault="00D00B8F" w:rsidP="00804104">
      <w:pPr>
        <w:rPr>
          <w:rFonts w:cs="Arial"/>
          <w:szCs w:val="22"/>
          <w:lang w:val="es-ES_tradnl"/>
        </w:rPr>
      </w:pPr>
      <w:r>
        <w:rPr>
          <w:rFonts w:cs="Arial"/>
          <w:szCs w:val="22"/>
          <w:lang w:val="es-ES_tradnl"/>
        </w:rPr>
        <w:t xml:space="preserve">Bajo un escenario de máxima tecnificación, los escurrimientos superficiales se mantendrían sin cambios a los largo de todo el periodo de planeación, es </w:t>
      </w:r>
      <w:r w:rsidR="00757EC1">
        <w:rPr>
          <w:rFonts w:cs="Arial"/>
          <w:szCs w:val="22"/>
          <w:lang w:val="es-ES_tradnl"/>
        </w:rPr>
        <w:t>decir, en conjunto, el escurrim</w:t>
      </w:r>
      <w:r>
        <w:rPr>
          <w:rFonts w:cs="Arial"/>
          <w:szCs w:val="22"/>
          <w:lang w:val="es-ES_tradnl"/>
        </w:rPr>
        <w:t>i</w:t>
      </w:r>
      <w:r w:rsidR="00757EC1">
        <w:rPr>
          <w:rFonts w:cs="Arial"/>
          <w:szCs w:val="22"/>
          <w:lang w:val="es-ES_tradnl"/>
        </w:rPr>
        <w:t>e</w:t>
      </w:r>
      <w:r>
        <w:rPr>
          <w:rFonts w:cs="Arial"/>
          <w:szCs w:val="22"/>
          <w:lang w:val="es-ES_tradnl"/>
        </w:rPr>
        <w:t xml:space="preserve">nto virgen sería de 26.6  </w:t>
      </w:r>
      <w:r>
        <w:t>hm³/año.</w:t>
      </w:r>
    </w:p>
    <w:p w:rsidR="00D00B8F" w:rsidRDefault="00757EC1" w:rsidP="00D00B8F">
      <w:r>
        <w:t>P</w:t>
      </w:r>
      <w:r w:rsidR="00D00B8F">
        <w:t xml:space="preserve">artiendo de que la recarga natural del acuífero </w:t>
      </w:r>
      <w:r>
        <w:t xml:space="preserve">es de </w:t>
      </w:r>
      <w:r w:rsidR="00D00B8F">
        <w:t>153.8 hm³, los retornos urbanos de 2.0 h</w:t>
      </w:r>
      <w:r>
        <w:t xml:space="preserve">m³ y los agrícolas de 0.6 hm³, </w:t>
      </w:r>
      <w:r w:rsidR="00D00B8F">
        <w:t xml:space="preserve">el total de la oferta de agua </w:t>
      </w:r>
      <w:r w:rsidR="00CE74ED">
        <w:t>subterránea es de 156.4 hm³.</w:t>
      </w:r>
      <w:r w:rsidR="00D00B8F">
        <w:t xml:space="preserve"> </w:t>
      </w:r>
      <w:r w:rsidR="00CE74ED">
        <w:t>B</w:t>
      </w:r>
      <w:r w:rsidR="00D00B8F">
        <w:t>ajo un escenario de máxima tecnificación</w:t>
      </w:r>
      <w:r w:rsidR="00CE74ED">
        <w:t>,</w:t>
      </w:r>
      <w:r w:rsidR="00D00B8F">
        <w:t xml:space="preserve"> en donde se incrementan las </w:t>
      </w:r>
      <w:r>
        <w:t>coberturas de agua potable hasta alcanzar el</w:t>
      </w:r>
      <w:r w:rsidR="00D00B8F">
        <w:t xml:space="preserve"> 99% en localidades urbanas</w:t>
      </w:r>
      <w:r>
        <w:t xml:space="preserve">, </w:t>
      </w:r>
      <w:r w:rsidR="00D00B8F">
        <w:t xml:space="preserve">se </w:t>
      </w:r>
      <w:r>
        <w:t>tienen</w:t>
      </w:r>
      <w:r w:rsidR="00D00B8F">
        <w:t xml:space="preserve"> perdidas físicas de 20% al año 2040 (actualmente son de 40.4%) y se redu</w:t>
      </w:r>
      <w:r>
        <w:t xml:space="preserve">cen </w:t>
      </w:r>
      <w:r w:rsidR="00D00B8F">
        <w:t xml:space="preserve">las dotaciones urbanas de agua potable a 300 l/s, se tendría una disminución gradual en la recarga inducida </w:t>
      </w:r>
      <w:r>
        <w:t>por</w:t>
      </w:r>
      <w:r w:rsidR="00D00B8F">
        <w:t xml:space="preserve"> sistemas urbanos hasta alcanzar 1.65 hm³ en el año 2040 (actualmente es de 2.0 hm³); por otra parte, si se mantuviera la misma eficiencia g</w:t>
      </w:r>
      <w:r>
        <w:t>lobal en los sistemas de riego (</w:t>
      </w:r>
      <w:r w:rsidR="00D00B8F">
        <w:t>80.8%</w:t>
      </w:r>
      <w:r>
        <w:t>)</w:t>
      </w:r>
      <w:r w:rsidR="00D00B8F">
        <w:t xml:space="preserve"> y se incrementara la superficie agrícola de riego se tendría un aumento gradual en la recarga inducida por el riego agrícola hasta alcanzar 0.73 hm³ (actualmente es de 0.56 hm³), cabe señalar que la superficie agrícola de riego se podría incrementar gradualmente en un 33% a lo largo de todo el periodo de planeación. Por su parte, la recarga natural bajo un escenario de máxima tecnificación no sufriría cambio alguno, ni por parte de la recarga por precipitación en el valle, ni por las entradas horizontales de las sierras, ni las que provienen del acuífero de Libres - Oriental, por lo tanto la recarga natural quedaría en 153.8 hm³/año a lo largo de todo el periodo de planeación. Abría que tomar en cuenta que a la oferta total de agua subterránea descrita no se le han descontado los volúmenes naturales comprometidos, los cuales en 2010 son de 74.9 hm³ y para el 2040 se tiene contemplado que estos se mantengan sin cambios significativos bajo un escenario de máxima tecnificación. De esta forma tenemos que la oferta total aprovechable del acuífero Perote-</w:t>
      </w:r>
      <w:r w:rsidR="00106565">
        <w:t>Zalayeta</w:t>
      </w:r>
      <w:r w:rsidR="00D00B8F">
        <w:t xml:space="preserve"> pasaría de 81.5 hm³ en 2010 a 81.3 hm³ en el año 2040.</w:t>
      </w:r>
    </w:p>
    <w:p w:rsidR="004B1A12" w:rsidRDefault="004B1A12" w:rsidP="00E9158D">
      <w:pPr>
        <w:pStyle w:val="Tabla1cap6"/>
      </w:pPr>
      <w:r>
        <w:lastRenderedPageBreak/>
        <w:t>Síntesis de oferta total de agua aprovechable en el acuífero Perote-</w:t>
      </w:r>
      <w:r w:rsidR="00106565">
        <w:t>Zalayeta</w:t>
      </w:r>
      <w:r>
        <w:t xml:space="preserve"> (escenario sustentable)</w:t>
      </w:r>
    </w:p>
    <w:tbl>
      <w:tblPr>
        <w:tblW w:w="0" w:type="auto"/>
        <w:tblBorders>
          <w:top w:val="single" w:sz="12" w:space="0" w:color="008000"/>
          <w:bottom w:val="single" w:sz="12" w:space="0" w:color="008000"/>
        </w:tblBorders>
        <w:tblLayout w:type="fixed"/>
        <w:tblLook w:val="04A0"/>
      </w:tblPr>
      <w:tblGrid>
        <w:gridCol w:w="2943"/>
        <w:gridCol w:w="993"/>
        <w:gridCol w:w="850"/>
        <w:gridCol w:w="851"/>
        <w:gridCol w:w="850"/>
        <w:gridCol w:w="851"/>
        <w:gridCol w:w="850"/>
        <w:gridCol w:w="851"/>
        <w:gridCol w:w="850"/>
      </w:tblGrid>
      <w:tr w:rsidR="004B1A12" w:rsidRPr="00BD0A86" w:rsidTr="00BD0A86">
        <w:tc>
          <w:tcPr>
            <w:tcW w:w="2943" w:type="dxa"/>
            <w:tcBorders>
              <w:bottom w:val="single" w:sz="6" w:space="0" w:color="008000"/>
            </w:tcBorders>
            <w:shd w:val="clear" w:color="auto" w:fill="auto"/>
          </w:tcPr>
          <w:p w:rsidR="004B1A12" w:rsidRPr="00BD0A86" w:rsidRDefault="004B1A12" w:rsidP="00F365F9">
            <w:pPr>
              <w:spacing w:after="60" w:line="240" w:lineRule="auto"/>
              <w:ind w:firstLine="0"/>
              <w:rPr>
                <w:sz w:val="20"/>
              </w:rPr>
            </w:pPr>
            <w:r w:rsidRPr="00BD0A86">
              <w:rPr>
                <w:sz w:val="20"/>
              </w:rPr>
              <w:t>Periodo de Planeación</w:t>
            </w:r>
          </w:p>
        </w:tc>
        <w:tc>
          <w:tcPr>
            <w:tcW w:w="993"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2010</w:t>
            </w:r>
          </w:p>
        </w:tc>
        <w:tc>
          <w:tcPr>
            <w:tcW w:w="850"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2011</w:t>
            </w:r>
          </w:p>
        </w:tc>
        <w:tc>
          <w:tcPr>
            <w:tcW w:w="851"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2012</w:t>
            </w:r>
          </w:p>
        </w:tc>
        <w:tc>
          <w:tcPr>
            <w:tcW w:w="850"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2018</w:t>
            </w:r>
          </w:p>
        </w:tc>
        <w:tc>
          <w:tcPr>
            <w:tcW w:w="851"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2024</w:t>
            </w:r>
          </w:p>
        </w:tc>
        <w:tc>
          <w:tcPr>
            <w:tcW w:w="850"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2030</w:t>
            </w:r>
          </w:p>
        </w:tc>
        <w:tc>
          <w:tcPr>
            <w:tcW w:w="851"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2036</w:t>
            </w:r>
          </w:p>
        </w:tc>
        <w:tc>
          <w:tcPr>
            <w:tcW w:w="850" w:type="dxa"/>
            <w:tcBorders>
              <w:bottom w:val="single" w:sz="6" w:space="0" w:color="008000"/>
            </w:tcBorders>
            <w:shd w:val="clear" w:color="auto" w:fill="auto"/>
          </w:tcPr>
          <w:p w:rsidR="004B1A12" w:rsidRPr="00BD0A86" w:rsidRDefault="004B1A12" w:rsidP="00F365F9">
            <w:pPr>
              <w:spacing w:after="60" w:line="240" w:lineRule="auto"/>
              <w:ind w:firstLine="0"/>
              <w:jc w:val="center"/>
              <w:rPr>
                <w:sz w:val="20"/>
              </w:rPr>
            </w:pPr>
            <w:r w:rsidRPr="00BD0A86">
              <w:rPr>
                <w:sz w:val="20"/>
              </w:rPr>
              <w:t>2040</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 xml:space="preserve">Oferta aprovechable de agua subterránea </w:t>
            </w:r>
          </w:p>
        </w:tc>
        <w:tc>
          <w:tcPr>
            <w:tcW w:w="993"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81.52</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81.53</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81.55</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81.62</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81.62</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81.56</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81.43</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81.29</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rFonts w:eastAsia="Calibri"/>
                <w:sz w:val="20"/>
              </w:rPr>
              <w:t xml:space="preserve">Oferta aprovechable de agua </w:t>
            </w:r>
            <w:r w:rsidRPr="00BD0A86">
              <w:rPr>
                <w:sz w:val="20"/>
              </w:rPr>
              <w:t>superficial</w:t>
            </w:r>
          </w:p>
        </w:tc>
        <w:tc>
          <w:tcPr>
            <w:tcW w:w="993"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26.60</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rFonts w:eastAsia="Calibri"/>
                <w:sz w:val="20"/>
              </w:rPr>
            </w:pPr>
            <w:r w:rsidRPr="00BD0A86">
              <w:rPr>
                <w:rFonts w:eastAsia="Calibri"/>
                <w:sz w:val="20"/>
              </w:rPr>
              <w:t>Oferta total aprovechable</w:t>
            </w:r>
          </w:p>
        </w:tc>
        <w:tc>
          <w:tcPr>
            <w:tcW w:w="993"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113.16</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113.33</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113.50</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114.50</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115.46</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116.35</w:t>
            </w:r>
          </w:p>
        </w:tc>
        <w:tc>
          <w:tcPr>
            <w:tcW w:w="851"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117.14</w:t>
            </w:r>
          </w:p>
        </w:tc>
        <w:tc>
          <w:tcPr>
            <w:tcW w:w="850"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117.52</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Recarga natural</w:t>
            </w:r>
          </w:p>
        </w:tc>
        <w:tc>
          <w:tcPr>
            <w:tcW w:w="993" w:type="dxa"/>
            <w:shd w:val="clear" w:color="auto" w:fill="auto"/>
            <w:vAlign w:val="center"/>
          </w:tcPr>
          <w:p w:rsidR="004B1A12" w:rsidRPr="00BD0A86" w:rsidRDefault="004B1A12" w:rsidP="00F365F9">
            <w:pPr>
              <w:spacing w:after="60" w:line="240" w:lineRule="auto"/>
              <w:ind w:firstLine="0"/>
              <w:jc w:val="center"/>
              <w:rPr>
                <w:sz w:val="20"/>
              </w:rPr>
            </w:pPr>
            <w:r w:rsidRPr="00BD0A86">
              <w:rPr>
                <w:sz w:val="20"/>
              </w:rPr>
              <w:t>153.80</w:t>
            </w:r>
          </w:p>
        </w:tc>
        <w:tc>
          <w:tcPr>
            <w:tcW w:w="850" w:type="dxa"/>
            <w:shd w:val="clear" w:color="auto" w:fill="auto"/>
          </w:tcPr>
          <w:p w:rsidR="004B1A12" w:rsidRPr="00BD0A86" w:rsidRDefault="004B1A12" w:rsidP="00F365F9">
            <w:pPr>
              <w:spacing w:after="60" w:line="240" w:lineRule="auto"/>
              <w:ind w:firstLine="0"/>
              <w:rPr>
                <w:sz w:val="20"/>
              </w:rPr>
            </w:pPr>
            <w:r w:rsidRPr="00BD0A86">
              <w:rPr>
                <w:sz w:val="20"/>
              </w:rPr>
              <w:t>153.80</w:t>
            </w:r>
          </w:p>
        </w:tc>
        <w:tc>
          <w:tcPr>
            <w:tcW w:w="851" w:type="dxa"/>
            <w:shd w:val="clear" w:color="auto" w:fill="auto"/>
          </w:tcPr>
          <w:p w:rsidR="004B1A12" w:rsidRPr="00BD0A86" w:rsidRDefault="00AD4F45" w:rsidP="00F365F9">
            <w:pPr>
              <w:spacing w:after="60" w:line="240" w:lineRule="auto"/>
              <w:ind w:firstLine="0"/>
              <w:rPr>
                <w:sz w:val="20"/>
              </w:rPr>
            </w:pPr>
            <w:r w:rsidRPr="00BD0A86">
              <w:rPr>
                <w:sz w:val="20"/>
              </w:rPr>
              <w:t>153.80</w:t>
            </w:r>
          </w:p>
        </w:tc>
        <w:tc>
          <w:tcPr>
            <w:tcW w:w="850" w:type="dxa"/>
            <w:shd w:val="clear" w:color="auto" w:fill="auto"/>
          </w:tcPr>
          <w:p w:rsidR="004B1A12" w:rsidRPr="00BD0A86" w:rsidRDefault="00AD4F45" w:rsidP="00F365F9">
            <w:pPr>
              <w:spacing w:after="60" w:line="240" w:lineRule="auto"/>
              <w:ind w:firstLine="0"/>
              <w:rPr>
                <w:sz w:val="20"/>
              </w:rPr>
            </w:pPr>
            <w:r w:rsidRPr="00BD0A86">
              <w:rPr>
                <w:sz w:val="20"/>
              </w:rPr>
              <w:t>153.80</w:t>
            </w:r>
          </w:p>
        </w:tc>
        <w:tc>
          <w:tcPr>
            <w:tcW w:w="851" w:type="dxa"/>
            <w:shd w:val="clear" w:color="auto" w:fill="auto"/>
          </w:tcPr>
          <w:p w:rsidR="004B1A12" w:rsidRPr="00BD0A86" w:rsidRDefault="00AD4F45" w:rsidP="00F365F9">
            <w:pPr>
              <w:spacing w:after="60" w:line="240" w:lineRule="auto"/>
              <w:ind w:firstLine="0"/>
              <w:rPr>
                <w:sz w:val="20"/>
              </w:rPr>
            </w:pPr>
            <w:r w:rsidRPr="00BD0A86">
              <w:rPr>
                <w:sz w:val="20"/>
              </w:rPr>
              <w:t>153.80</w:t>
            </w:r>
          </w:p>
        </w:tc>
        <w:tc>
          <w:tcPr>
            <w:tcW w:w="850" w:type="dxa"/>
            <w:shd w:val="clear" w:color="auto" w:fill="auto"/>
          </w:tcPr>
          <w:p w:rsidR="004B1A12" w:rsidRPr="00BD0A86" w:rsidRDefault="00AD4F45" w:rsidP="00F365F9">
            <w:pPr>
              <w:spacing w:after="60" w:line="240" w:lineRule="auto"/>
              <w:ind w:firstLine="0"/>
              <w:rPr>
                <w:sz w:val="20"/>
              </w:rPr>
            </w:pPr>
            <w:r w:rsidRPr="00BD0A86">
              <w:rPr>
                <w:sz w:val="20"/>
              </w:rPr>
              <w:t>153.80</w:t>
            </w:r>
          </w:p>
        </w:tc>
        <w:tc>
          <w:tcPr>
            <w:tcW w:w="851" w:type="dxa"/>
            <w:shd w:val="clear" w:color="auto" w:fill="auto"/>
          </w:tcPr>
          <w:p w:rsidR="004B1A12" w:rsidRPr="00BD0A86" w:rsidRDefault="00AD4F45" w:rsidP="00F365F9">
            <w:pPr>
              <w:spacing w:after="60" w:line="240" w:lineRule="auto"/>
              <w:ind w:firstLine="0"/>
              <w:rPr>
                <w:sz w:val="20"/>
              </w:rPr>
            </w:pPr>
            <w:r w:rsidRPr="00BD0A86">
              <w:rPr>
                <w:sz w:val="20"/>
              </w:rPr>
              <w:t>153.80</w:t>
            </w:r>
          </w:p>
        </w:tc>
        <w:tc>
          <w:tcPr>
            <w:tcW w:w="850" w:type="dxa"/>
            <w:shd w:val="clear" w:color="auto" w:fill="auto"/>
          </w:tcPr>
          <w:p w:rsidR="004B1A12" w:rsidRPr="00BD0A86" w:rsidRDefault="00AD4F45" w:rsidP="00F365F9">
            <w:pPr>
              <w:spacing w:after="60" w:line="240" w:lineRule="auto"/>
              <w:ind w:firstLine="0"/>
              <w:rPr>
                <w:sz w:val="20"/>
              </w:rPr>
            </w:pPr>
            <w:r w:rsidRPr="00BD0A86">
              <w:rPr>
                <w:sz w:val="20"/>
              </w:rPr>
              <w:t>153.80</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Recarga inducida</w:t>
            </w:r>
          </w:p>
        </w:tc>
        <w:tc>
          <w:tcPr>
            <w:tcW w:w="993"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2.60</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2.62</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2.64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2.70</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2.71</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2.64</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2.51</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2.38</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Volumen comprometido</w:t>
            </w:r>
          </w:p>
        </w:tc>
        <w:tc>
          <w:tcPr>
            <w:tcW w:w="993"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0"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1"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0"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1"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0"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1"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c>
          <w:tcPr>
            <w:tcW w:w="850" w:type="dxa"/>
            <w:shd w:val="clear" w:color="auto" w:fill="auto"/>
            <w:vAlign w:val="center"/>
          </w:tcPr>
          <w:p w:rsidR="004B1A12" w:rsidRPr="00BD0A86" w:rsidRDefault="00AD4F45" w:rsidP="00F365F9">
            <w:pPr>
              <w:spacing w:after="60" w:line="240" w:lineRule="auto"/>
              <w:ind w:firstLine="0"/>
              <w:jc w:val="center"/>
              <w:rPr>
                <w:sz w:val="18"/>
                <w:szCs w:val="18"/>
              </w:rPr>
            </w:pPr>
            <w:r w:rsidRPr="00BD0A86">
              <w:rPr>
                <w:sz w:val="18"/>
                <w:szCs w:val="18"/>
              </w:rPr>
              <w:t>-74.89</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Retorno urbano</w:t>
            </w:r>
          </w:p>
        </w:tc>
        <w:tc>
          <w:tcPr>
            <w:tcW w:w="993"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2.04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2.06</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2.07</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2.10</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2.07</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1.97</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1.81</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1.65</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Retornos agrícolas</w:t>
            </w:r>
          </w:p>
        </w:tc>
        <w:tc>
          <w:tcPr>
            <w:tcW w:w="993"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0.56</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0.56</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0.57</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0.60</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0.64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0.67</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0.71</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0.73</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Agua residual urbana recolectada</w:t>
            </w:r>
          </w:p>
        </w:tc>
        <w:tc>
          <w:tcPr>
            <w:tcW w:w="993"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5.04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5.19</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5.34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6.28</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7.24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8.19</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9.12</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9.62</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Agua residual tratada producida</w:t>
            </w:r>
          </w:p>
        </w:tc>
        <w:tc>
          <w:tcPr>
            <w:tcW w:w="993"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0.24</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0.38</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0.52</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1.52</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2.81</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4.36</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6.18</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7.46</w:t>
            </w:r>
          </w:p>
        </w:tc>
      </w:tr>
      <w:tr w:rsidR="004B1A12" w:rsidRPr="00BD0A86" w:rsidTr="00BD0A86">
        <w:tc>
          <w:tcPr>
            <w:tcW w:w="2943" w:type="dxa"/>
            <w:shd w:val="clear" w:color="auto" w:fill="auto"/>
          </w:tcPr>
          <w:p w:rsidR="004B1A12" w:rsidRPr="00BD0A86" w:rsidRDefault="004B1A12" w:rsidP="00F365F9">
            <w:pPr>
              <w:spacing w:after="60" w:line="240" w:lineRule="auto"/>
              <w:ind w:firstLine="0"/>
              <w:jc w:val="left"/>
              <w:rPr>
                <w:sz w:val="20"/>
              </w:rPr>
            </w:pPr>
            <w:r w:rsidRPr="00BD0A86">
              <w:rPr>
                <w:sz w:val="20"/>
              </w:rPr>
              <w:t>Agua residual urbana sin tratar</w:t>
            </w:r>
          </w:p>
        </w:tc>
        <w:tc>
          <w:tcPr>
            <w:tcW w:w="993"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4.80</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4.81</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4.83</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4.76</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4.43</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3.83</w:t>
            </w:r>
          </w:p>
        </w:tc>
        <w:tc>
          <w:tcPr>
            <w:tcW w:w="851"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2.93</w:t>
            </w:r>
          </w:p>
        </w:tc>
        <w:tc>
          <w:tcPr>
            <w:tcW w:w="850" w:type="dxa"/>
            <w:shd w:val="clear" w:color="auto" w:fill="auto"/>
            <w:vAlign w:val="center"/>
          </w:tcPr>
          <w:p w:rsidR="004B1A12" w:rsidRPr="00BD0A86" w:rsidRDefault="00AD4F45" w:rsidP="00F365F9">
            <w:pPr>
              <w:spacing w:after="60" w:line="240" w:lineRule="auto"/>
              <w:ind w:firstLine="0"/>
              <w:jc w:val="center"/>
              <w:rPr>
                <w:sz w:val="20"/>
              </w:rPr>
            </w:pPr>
            <w:r w:rsidRPr="00BD0A86">
              <w:rPr>
                <w:sz w:val="20"/>
              </w:rPr>
              <w:t>2.17</w:t>
            </w:r>
          </w:p>
        </w:tc>
      </w:tr>
    </w:tbl>
    <w:p w:rsidR="004B1A12" w:rsidRDefault="004B1A12" w:rsidP="004B1A12">
      <w:pPr>
        <w:rPr>
          <w:sz w:val="20"/>
        </w:rPr>
      </w:pPr>
    </w:p>
    <w:p w:rsidR="008A3D02" w:rsidRDefault="00CE74ED" w:rsidP="00804104">
      <w:pPr>
        <w:rPr>
          <w:rFonts w:cs="Arial"/>
          <w:szCs w:val="22"/>
        </w:rPr>
      </w:pPr>
      <w:r>
        <w:rPr>
          <w:rFonts w:cs="Arial"/>
          <w:szCs w:val="22"/>
        </w:rPr>
        <w:t xml:space="preserve">En términos de agua residual con y sin tratamiento, </w:t>
      </w:r>
      <w:r>
        <w:t xml:space="preserve">se podría alcanzar gradualmente una cobertura de tratamiento del 74% en el 2040, mientras que la cobertura de alcantarillado podría llegar hasta el 92.6%, por lo que al final del periodo de planeación (2040) se estaría recolectando un volumen de 9.6 hm³ de aguas residuales municipales (actualmente se recolecta 5.0 hm³), </w:t>
      </w:r>
      <w:r w:rsidR="00757EC1">
        <w:t xml:space="preserve">y al </w:t>
      </w:r>
      <w:r>
        <w:t xml:space="preserve"> tratarse el 74% de esta agua se tendría un volumen producido de agua residual tratada de 7.5 (actualmente en el 2010 es de 0 hm³) y por lo tanto quedaría un volumen sin tratar de aproximadamente de 2.2 hm³ (actualmente es de 5.0 hm³).</w:t>
      </w:r>
    </w:p>
    <w:p w:rsidR="00CE74ED" w:rsidRDefault="00CE74ED" w:rsidP="00CE74ED">
      <w:r>
        <w:rPr>
          <w:rFonts w:cs="Arial"/>
          <w:szCs w:val="22"/>
        </w:rPr>
        <w:t xml:space="preserve">Finalmente, la oferta total de agua aprovechable en el acuífero Perote-Zalayeta presenta un volumen total al año 2040 de </w:t>
      </w:r>
      <w:r>
        <w:t xml:space="preserve">117.5 hm³, cuando en el 2010 es de 113.2. El incremento se debe básicamente a dos factores: al aumentar la superficie agrícola de riego en un 33% provoca que también los retornos de riego al acuífero aumenten en la misma proporción; finalmente, al incrementarse la población urbana </w:t>
      </w:r>
      <w:r w:rsidR="00757EC1">
        <w:t>y</w:t>
      </w:r>
      <w:r>
        <w:t xml:space="preserve"> la cobertura de alcantarillado</w:t>
      </w:r>
      <w:r w:rsidR="00757EC1">
        <w:t xml:space="preserve"> se </w:t>
      </w:r>
      <w:r>
        <w:t xml:space="preserve">ocasiona que </w:t>
      </w:r>
      <w:r w:rsidR="00757EC1">
        <w:t>el aumento d</w:t>
      </w:r>
      <w:r>
        <w:t xml:space="preserve">el agua residual recolectada y posteriormente </w:t>
      </w:r>
      <w:r w:rsidR="00757EC1">
        <w:t>tratamiento de una parte de esta</w:t>
      </w:r>
      <w:r>
        <w:t xml:space="preserve"> misma.</w:t>
      </w:r>
    </w:p>
    <w:p w:rsidR="00565FAF" w:rsidRDefault="00565FAF" w:rsidP="005573B4">
      <w:pPr>
        <w:pStyle w:val="Ttulo2"/>
      </w:pPr>
      <w:r>
        <w:tab/>
      </w:r>
      <w:bookmarkStart w:id="165" w:name="_Toc283886477"/>
      <w:r>
        <w:t>Proyección de la demanda</w:t>
      </w:r>
      <w:bookmarkEnd w:id="165"/>
    </w:p>
    <w:p w:rsidR="002F065B" w:rsidRDefault="006D1ADE" w:rsidP="002F065B">
      <w:pPr>
        <w:rPr>
          <w:szCs w:val="22"/>
        </w:rPr>
      </w:pPr>
      <w:r w:rsidRPr="006D1ADE">
        <w:rPr>
          <w:szCs w:val="22"/>
        </w:rPr>
        <w:t xml:space="preserve">Actualmente el REPDA tiene registradas en la zona de estudio 1,826 aprovechamientos, de los cuales 1,442 son subterráneos y 348 </w:t>
      </w:r>
      <w:r w:rsidR="000F528F">
        <w:rPr>
          <w:szCs w:val="22"/>
        </w:rPr>
        <w:t>superficiales (79</w:t>
      </w:r>
      <w:r w:rsidRPr="006D1ADE">
        <w:rPr>
          <w:szCs w:val="22"/>
        </w:rPr>
        <w:t>% y 21%, respectivamente). De los primeros, 1,128 son de uso agrícola, mientras que de los superficiales, 344 son de uso público-urbano. El volumen total concesionado es de 292.6 millones de metros cúbicos</w:t>
      </w:r>
      <w:r w:rsidR="002F065B" w:rsidRPr="006D1ADE">
        <w:rPr>
          <w:szCs w:val="22"/>
        </w:rPr>
        <w:t>.</w:t>
      </w:r>
    </w:p>
    <w:p w:rsidR="000B2D7B" w:rsidRDefault="000B2D7B" w:rsidP="000B2D7B">
      <w:pPr>
        <w:pStyle w:val="figura1cap6"/>
        <w:ind w:left="0" w:firstLine="0"/>
      </w:pPr>
      <w:r w:rsidRPr="00A529C5">
        <w:lastRenderedPageBreak/>
        <w:t xml:space="preserve">Zona de estudio. Distribución del volumen concesionado por </w:t>
      </w:r>
      <w:r>
        <w:t xml:space="preserve">tipo (Izquierda) y distribución de volumen concesionado por uso (derecha) </w:t>
      </w:r>
    </w:p>
    <w:p w:rsidR="000B2D7B" w:rsidRDefault="000B2D7B" w:rsidP="000B2D7B">
      <w:pPr>
        <w:pStyle w:val="Piedepgina"/>
        <w:jc w:val="center"/>
      </w:pPr>
      <w:r w:rsidRPr="00782F24">
        <w:rPr>
          <w:noProof/>
          <w:lang w:eastAsia="es-MX"/>
        </w:rPr>
        <w:drawing>
          <wp:inline distT="0" distB="0" distL="0" distR="0">
            <wp:extent cx="4940135" cy="2643551"/>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 cstate="print"/>
                    <a:srcRect/>
                    <a:stretch>
                      <a:fillRect/>
                    </a:stretch>
                  </pic:blipFill>
                  <pic:spPr bwMode="auto">
                    <a:xfrm>
                      <a:off x="0" y="0"/>
                      <a:ext cx="4940059" cy="2643510"/>
                    </a:xfrm>
                    <a:prstGeom prst="rect">
                      <a:avLst/>
                    </a:prstGeom>
                    <a:noFill/>
                    <a:ln w="9525">
                      <a:noFill/>
                      <a:miter lim="800000"/>
                      <a:headEnd/>
                      <a:tailEnd/>
                    </a:ln>
                  </pic:spPr>
                </pic:pic>
              </a:graphicData>
            </a:graphic>
          </wp:inline>
        </w:drawing>
      </w:r>
    </w:p>
    <w:p w:rsidR="000B2D7B" w:rsidRDefault="000B2D7B" w:rsidP="000B2D7B">
      <w:pPr>
        <w:pStyle w:val="Piedepgina"/>
        <w:jc w:val="center"/>
      </w:pPr>
      <w:r>
        <w:t>Fuente: Generación propia IGH, basa en información proporcionada del REPDA al 31 de diciembre</w:t>
      </w:r>
    </w:p>
    <w:p w:rsidR="000B2D7B" w:rsidRDefault="000B2D7B" w:rsidP="000B2D7B">
      <w:r>
        <w:t>El acuífero de Libres representa el 71.3% del volumen concesionado, le siguen los acuíferos de Huamantla y Perote con el 18.1% y 10.6% respectivamente.</w:t>
      </w:r>
    </w:p>
    <w:p w:rsidR="00A529C5" w:rsidRDefault="00A529C5" w:rsidP="00141B56">
      <w:pPr>
        <w:pStyle w:val="Tabla1cap6"/>
      </w:pPr>
      <w:r w:rsidRPr="00A529C5">
        <w:t xml:space="preserve">Volumen concesionado por </w:t>
      </w:r>
      <w:r w:rsidR="00CB5F93">
        <w:t xml:space="preserve">acuífero y por </w:t>
      </w:r>
      <w:r w:rsidR="00462276">
        <w:t>tipo de aprovechamiento (m3)</w:t>
      </w:r>
    </w:p>
    <w:tbl>
      <w:tblPr>
        <w:tblStyle w:val="Tablabsica1"/>
        <w:tblW w:w="8080" w:type="dxa"/>
        <w:jc w:val="center"/>
        <w:tblInd w:w="817" w:type="dxa"/>
        <w:tblLook w:val="04A0"/>
      </w:tblPr>
      <w:tblGrid>
        <w:gridCol w:w="1701"/>
        <w:gridCol w:w="1965"/>
        <w:gridCol w:w="1579"/>
        <w:gridCol w:w="1559"/>
        <w:gridCol w:w="1276"/>
      </w:tblGrid>
      <w:tr w:rsidR="00462276" w:rsidRPr="003D4B2D" w:rsidTr="00462276">
        <w:trPr>
          <w:cnfStyle w:val="100000000000"/>
          <w:jc w:val="center"/>
        </w:trPr>
        <w:tc>
          <w:tcPr>
            <w:tcW w:w="1701" w:type="dxa"/>
          </w:tcPr>
          <w:p w:rsidR="00462276" w:rsidRPr="003D4B2D" w:rsidRDefault="00462276" w:rsidP="00462276">
            <w:pPr>
              <w:spacing w:before="0" w:after="0" w:line="240" w:lineRule="auto"/>
              <w:ind w:firstLine="0"/>
              <w:jc w:val="center"/>
              <w:rPr>
                <w:sz w:val="20"/>
              </w:rPr>
            </w:pPr>
            <w:r>
              <w:rPr>
                <w:sz w:val="20"/>
              </w:rPr>
              <w:t>A</w:t>
            </w:r>
            <w:r w:rsidRPr="003D4B2D">
              <w:rPr>
                <w:sz w:val="20"/>
              </w:rPr>
              <w:t>cuífero</w:t>
            </w:r>
          </w:p>
        </w:tc>
        <w:tc>
          <w:tcPr>
            <w:tcW w:w="1965" w:type="dxa"/>
          </w:tcPr>
          <w:p w:rsidR="00462276" w:rsidRPr="003D4B2D" w:rsidRDefault="00462276" w:rsidP="00462276">
            <w:pPr>
              <w:spacing w:before="0" w:after="0" w:line="240" w:lineRule="auto"/>
              <w:ind w:firstLine="0"/>
              <w:jc w:val="center"/>
              <w:rPr>
                <w:sz w:val="20"/>
              </w:rPr>
            </w:pPr>
            <w:r>
              <w:rPr>
                <w:sz w:val="20"/>
              </w:rPr>
              <w:t>S</w:t>
            </w:r>
            <w:r w:rsidRPr="003D4B2D">
              <w:rPr>
                <w:sz w:val="20"/>
              </w:rPr>
              <w:t>ubterráneo</w:t>
            </w:r>
          </w:p>
        </w:tc>
        <w:tc>
          <w:tcPr>
            <w:tcW w:w="1579" w:type="dxa"/>
          </w:tcPr>
          <w:p w:rsidR="00462276" w:rsidRPr="003D4B2D" w:rsidRDefault="00462276" w:rsidP="00462276">
            <w:pPr>
              <w:spacing w:before="0" w:after="0" w:line="240" w:lineRule="auto"/>
              <w:ind w:firstLine="0"/>
              <w:jc w:val="center"/>
              <w:rPr>
                <w:sz w:val="20"/>
              </w:rPr>
            </w:pPr>
            <w:r>
              <w:rPr>
                <w:sz w:val="20"/>
              </w:rPr>
              <w:t>S</w:t>
            </w:r>
            <w:r w:rsidRPr="003D4B2D">
              <w:rPr>
                <w:sz w:val="20"/>
              </w:rPr>
              <w:t>uperficial</w:t>
            </w:r>
          </w:p>
        </w:tc>
        <w:tc>
          <w:tcPr>
            <w:tcW w:w="1559" w:type="dxa"/>
          </w:tcPr>
          <w:p w:rsidR="00462276" w:rsidRPr="003D4B2D" w:rsidRDefault="00462276" w:rsidP="00462276">
            <w:pPr>
              <w:spacing w:before="0" w:after="0" w:line="240" w:lineRule="auto"/>
              <w:ind w:firstLine="0"/>
              <w:jc w:val="center"/>
              <w:rPr>
                <w:sz w:val="20"/>
              </w:rPr>
            </w:pPr>
            <w:r>
              <w:rPr>
                <w:sz w:val="20"/>
              </w:rPr>
              <w:t>T</w:t>
            </w:r>
            <w:r w:rsidRPr="003D4B2D">
              <w:rPr>
                <w:sz w:val="20"/>
              </w:rPr>
              <w:t>otal</w:t>
            </w:r>
          </w:p>
        </w:tc>
        <w:tc>
          <w:tcPr>
            <w:tcW w:w="1276" w:type="dxa"/>
          </w:tcPr>
          <w:p w:rsidR="00462276" w:rsidRPr="003D4B2D" w:rsidRDefault="00462276" w:rsidP="00462276">
            <w:pPr>
              <w:spacing w:before="0" w:after="0" w:line="240" w:lineRule="auto"/>
              <w:ind w:firstLine="0"/>
              <w:jc w:val="center"/>
              <w:rPr>
                <w:sz w:val="20"/>
              </w:rPr>
            </w:pPr>
            <w:r w:rsidRPr="003D4B2D">
              <w:rPr>
                <w:sz w:val="20"/>
              </w:rPr>
              <w:t>%</w:t>
            </w:r>
            <w:r>
              <w:rPr>
                <w:sz w:val="20"/>
              </w:rPr>
              <w:t xml:space="preserve"> Acuífero</w:t>
            </w:r>
          </w:p>
        </w:tc>
      </w:tr>
      <w:tr w:rsidR="00462276" w:rsidRPr="003D4B2D" w:rsidTr="00462276">
        <w:trPr>
          <w:jc w:val="center"/>
        </w:trPr>
        <w:tc>
          <w:tcPr>
            <w:tcW w:w="1701" w:type="dxa"/>
          </w:tcPr>
          <w:p w:rsidR="00462276" w:rsidRPr="003D4B2D" w:rsidRDefault="00462276" w:rsidP="005D0A97">
            <w:pPr>
              <w:spacing w:before="0" w:after="0" w:line="240" w:lineRule="auto"/>
              <w:ind w:firstLine="0"/>
              <w:rPr>
                <w:sz w:val="20"/>
              </w:rPr>
            </w:pPr>
            <w:r>
              <w:rPr>
                <w:sz w:val="20"/>
              </w:rPr>
              <w:t>H</w:t>
            </w:r>
            <w:r w:rsidRPr="003D4B2D">
              <w:rPr>
                <w:sz w:val="20"/>
              </w:rPr>
              <w:t>uamantla</w:t>
            </w:r>
          </w:p>
        </w:tc>
        <w:tc>
          <w:tcPr>
            <w:tcW w:w="1965" w:type="dxa"/>
          </w:tcPr>
          <w:p w:rsidR="00462276" w:rsidRPr="003D4B2D" w:rsidRDefault="00462276" w:rsidP="00462276">
            <w:pPr>
              <w:spacing w:before="0" w:after="0" w:line="240" w:lineRule="auto"/>
              <w:ind w:firstLine="0"/>
              <w:jc w:val="right"/>
              <w:rPr>
                <w:sz w:val="20"/>
              </w:rPr>
            </w:pPr>
            <w:r w:rsidRPr="003D4B2D">
              <w:rPr>
                <w:sz w:val="20"/>
              </w:rPr>
              <w:t>52,832,590.2</w:t>
            </w:r>
          </w:p>
        </w:tc>
        <w:tc>
          <w:tcPr>
            <w:tcW w:w="1579" w:type="dxa"/>
          </w:tcPr>
          <w:p w:rsidR="00462276" w:rsidRPr="003D4B2D" w:rsidRDefault="00462276" w:rsidP="00462276">
            <w:pPr>
              <w:spacing w:before="0" w:after="0" w:line="240" w:lineRule="auto"/>
              <w:ind w:firstLine="0"/>
              <w:jc w:val="right"/>
              <w:rPr>
                <w:sz w:val="20"/>
              </w:rPr>
            </w:pPr>
            <w:r w:rsidRPr="003D4B2D">
              <w:rPr>
                <w:sz w:val="20"/>
              </w:rPr>
              <w:t>239,650.0</w:t>
            </w:r>
          </w:p>
        </w:tc>
        <w:tc>
          <w:tcPr>
            <w:tcW w:w="1559" w:type="dxa"/>
          </w:tcPr>
          <w:p w:rsidR="00462276" w:rsidRPr="003D4B2D" w:rsidRDefault="00462276" w:rsidP="00462276">
            <w:pPr>
              <w:spacing w:before="0" w:after="0" w:line="240" w:lineRule="auto"/>
              <w:ind w:firstLine="0"/>
              <w:jc w:val="right"/>
              <w:rPr>
                <w:sz w:val="20"/>
              </w:rPr>
            </w:pPr>
            <w:r w:rsidRPr="003D4B2D">
              <w:rPr>
                <w:sz w:val="20"/>
              </w:rPr>
              <w:t>53,072,240.2</w:t>
            </w:r>
          </w:p>
        </w:tc>
        <w:tc>
          <w:tcPr>
            <w:tcW w:w="1276" w:type="dxa"/>
          </w:tcPr>
          <w:p w:rsidR="00462276" w:rsidRPr="003D4B2D" w:rsidRDefault="00462276" w:rsidP="00462276">
            <w:pPr>
              <w:spacing w:before="0" w:after="0" w:line="240" w:lineRule="auto"/>
              <w:ind w:firstLine="0"/>
              <w:jc w:val="right"/>
              <w:rPr>
                <w:sz w:val="20"/>
              </w:rPr>
            </w:pPr>
            <w:r w:rsidRPr="003D4B2D">
              <w:rPr>
                <w:sz w:val="20"/>
              </w:rPr>
              <w:t>18.1%</w:t>
            </w:r>
          </w:p>
        </w:tc>
      </w:tr>
      <w:tr w:rsidR="00462276" w:rsidRPr="003D4B2D" w:rsidTr="00462276">
        <w:trPr>
          <w:jc w:val="center"/>
        </w:trPr>
        <w:tc>
          <w:tcPr>
            <w:tcW w:w="1701" w:type="dxa"/>
          </w:tcPr>
          <w:p w:rsidR="00462276" w:rsidRPr="003D4B2D" w:rsidRDefault="00462276" w:rsidP="00462276">
            <w:pPr>
              <w:spacing w:before="0" w:after="0" w:line="240" w:lineRule="auto"/>
              <w:ind w:firstLine="0"/>
              <w:rPr>
                <w:sz w:val="20"/>
              </w:rPr>
            </w:pPr>
            <w:r>
              <w:rPr>
                <w:sz w:val="20"/>
              </w:rPr>
              <w:t>L</w:t>
            </w:r>
            <w:r w:rsidRPr="003D4B2D">
              <w:rPr>
                <w:sz w:val="20"/>
              </w:rPr>
              <w:t xml:space="preserve">ibres - </w:t>
            </w:r>
            <w:r>
              <w:rPr>
                <w:sz w:val="20"/>
              </w:rPr>
              <w:t>O</w:t>
            </w:r>
            <w:r w:rsidRPr="003D4B2D">
              <w:rPr>
                <w:sz w:val="20"/>
              </w:rPr>
              <w:t>riental</w:t>
            </w:r>
          </w:p>
        </w:tc>
        <w:tc>
          <w:tcPr>
            <w:tcW w:w="1965" w:type="dxa"/>
          </w:tcPr>
          <w:p w:rsidR="00462276" w:rsidRPr="003D4B2D" w:rsidRDefault="00462276" w:rsidP="00462276">
            <w:pPr>
              <w:spacing w:before="0" w:after="0" w:line="240" w:lineRule="auto"/>
              <w:ind w:firstLine="0"/>
              <w:jc w:val="right"/>
              <w:rPr>
                <w:sz w:val="20"/>
              </w:rPr>
            </w:pPr>
            <w:r w:rsidRPr="003D4B2D">
              <w:rPr>
                <w:sz w:val="20"/>
              </w:rPr>
              <w:t>171,392,454.0</w:t>
            </w:r>
          </w:p>
        </w:tc>
        <w:tc>
          <w:tcPr>
            <w:tcW w:w="1579" w:type="dxa"/>
          </w:tcPr>
          <w:p w:rsidR="00462276" w:rsidRPr="003D4B2D" w:rsidRDefault="00462276" w:rsidP="00462276">
            <w:pPr>
              <w:spacing w:before="0" w:after="0" w:line="240" w:lineRule="auto"/>
              <w:ind w:firstLine="0"/>
              <w:jc w:val="right"/>
              <w:rPr>
                <w:sz w:val="20"/>
              </w:rPr>
            </w:pPr>
            <w:r w:rsidRPr="003D4B2D">
              <w:rPr>
                <w:sz w:val="20"/>
              </w:rPr>
              <w:t>37,211,255.9</w:t>
            </w:r>
          </w:p>
        </w:tc>
        <w:tc>
          <w:tcPr>
            <w:tcW w:w="1559" w:type="dxa"/>
          </w:tcPr>
          <w:p w:rsidR="00462276" w:rsidRPr="003D4B2D" w:rsidRDefault="00462276" w:rsidP="00462276">
            <w:pPr>
              <w:spacing w:before="0" w:after="0" w:line="240" w:lineRule="auto"/>
              <w:ind w:firstLine="0"/>
              <w:jc w:val="right"/>
              <w:rPr>
                <w:sz w:val="20"/>
              </w:rPr>
            </w:pPr>
            <w:r w:rsidRPr="003D4B2D">
              <w:rPr>
                <w:sz w:val="20"/>
              </w:rPr>
              <w:t>208,603,709.8</w:t>
            </w:r>
          </w:p>
        </w:tc>
        <w:tc>
          <w:tcPr>
            <w:tcW w:w="1276" w:type="dxa"/>
          </w:tcPr>
          <w:p w:rsidR="00462276" w:rsidRPr="003D4B2D" w:rsidRDefault="00462276" w:rsidP="00462276">
            <w:pPr>
              <w:spacing w:before="0" w:after="0" w:line="240" w:lineRule="auto"/>
              <w:ind w:firstLine="0"/>
              <w:jc w:val="right"/>
              <w:rPr>
                <w:sz w:val="20"/>
              </w:rPr>
            </w:pPr>
            <w:r w:rsidRPr="003D4B2D">
              <w:rPr>
                <w:sz w:val="20"/>
              </w:rPr>
              <w:t>71.3%</w:t>
            </w:r>
          </w:p>
        </w:tc>
      </w:tr>
      <w:tr w:rsidR="00462276" w:rsidRPr="003D4B2D" w:rsidTr="00462276">
        <w:trPr>
          <w:jc w:val="center"/>
        </w:trPr>
        <w:tc>
          <w:tcPr>
            <w:tcW w:w="1701" w:type="dxa"/>
          </w:tcPr>
          <w:p w:rsidR="00462276" w:rsidRPr="003D4B2D" w:rsidRDefault="00462276" w:rsidP="005D0A97">
            <w:pPr>
              <w:spacing w:before="0" w:after="0" w:line="240" w:lineRule="auto"/>
              <w:ind w:firstLine="0"/>
              <w:rPr>
                <w:sz w:val="20"/>
              </w:rPr>
            </w:pPr>
            <w:r>
              <w:rPr>
                <w:sz w:val="20"/>
              </w:rPr>
              <w:t>P</w:t>
            </w:r>
            <w:r w:rsidRPr="003D4B2D">
              <w:rPr>
                <w:sz w:val="20"/>
              </w:rPr>
              <w:t>erote</w:t>
            </w:r>
          </w:p>
        </w:tc>
        <w:tc>
          <w:tcPr>
            <w:tcW w:w="1965" w:type="dxa"/>
          </w:tcPr>
          <w:p w:rsidR="00462276" w:rsidRPr="003D4B2D" w:rsidRDefault="00462276" w:rsidP="00462276">
            <w:pPr>
              <w:spacing w:before="0" w:after="0" w:line="240" w:lineRule="auto"/>
              <w:ind w:firstLine="0"/>
              <w:jc w:val="right"/>
              <w:rPr>
                <w:sz w:val="20"/>
              </w:rPr>
            </w:pPr>
            <w:r w:rsidRPr="003D4B2D">
              <w:rPr>
                <w:sz w:val="20"/>
              </w:rPr>
              <w:t>22,067,144.5</w:t>
            </w:r>
          </w:p>
        </w:tc>
        <w:tc>
          <w:tcPr>
            <w:tcW w:w="1579" w:type="dxa"/>
          </w:tcPr>
          <w:p w:rsidR="00462276" w:rsidRPr="003D4B2D" w:rsidRDefault="00462276" w:rsidP="00462276">
            <w:pPr>
              <w:spacing w:before="0" w:after="0" w:line="240" w:lineRule="auto"/>
              <w:ind w:firstLine="0"/>
              <w:jc w:val="right"/>
              <w:rPr>
                <w:sz w:val="20"/>
              </w:rPr>
            </w:pPr>
            <w:r w:rsidRPr="003D4B2D">
              <w:rPr>
                <w:sz w:val="20"/>
              </w:rPr>
              <w:t>8,812,482.9</w:t>
            </w:r>
          </w:p>
        </w:tc>
        <w:tc>
          <w:tcPr>
            <w:tcW w:w="1559" w:type="dxa"/>
          </w:tcPr>
          <w:p w:rsidR="00462276" w:rsidRPr="003D4B2D" w:rsidRDefault="00462276" w:rsidP="00462276">
            <w:pPr>
              <w:spacing w:before="0" w:after="0" w:line="240" w:lineRule="auto"/>
              <w:ind w:firstLine="0"/>
              <w:jc w:val="right"/>
              <w:rPr>
                <w:sz w:val="20"/>
              </w:rPr>
            </w:pPr>
            <w:r w:rsidRPr="003D4B2D">
              <w:rPr>
                <w:sz w:val="20"/>
              </w:rPr>
              <w:t>30,879,627.4</w:t>
            </w:r>
          </w:p>
        </w:tc>
        <w:tc>
          <w:tcPr>
            <w:tcW w:w="1276" w:type="dxa"/>
          </w:tcPr>
          <w:p w:rsidR="00462276" w:rsidRPr="003D4B2D" w:rsidRDefault="00462276" w:rsidP="00462276">
            <w:pPr>
              <w:spacing w:before="0" w:after="0" w:line="240" w:lineRule="auto"/>
              <w:ind w:firstLine="0"/>
              <w:jc w:val="right"/>
              <w:rPr>
                <w:sz w:val="20"/>
              </w:rPr>
            </w:pPr>
            <w:r w:rsidRPr="003D4B2D">
              <w:rPr>
                <w:sz w:val="20"/>
              </w:rPr>
              <w:t>10.6%</w:t>
            </w:r>
          </w:p>
        </w:tc>
      </w:tr>
      <w:tr w:rsidR="00462276" w:rsidRPr="003D4B2D" w:rsidTr="00462276">
        <w:trPr>
          <w:jc w:val="center"/>
        </w:trPr>
        <w:tc>
          <w:tcPr>
            <w:tcW w:w="1701" w:type="dxa"/>
          </w:tcPr>
          <w:p w:rsidR="00462276" w:rsidRPr="003D4B2D" w:rsidRDefault="00462276" w:rsidP="005D0A97">
            <w:pPr>
              <w:spacing w:before="0" w:after="0" w:line="240" w:lineRule="auto"/>
              <w:ind w:firstLine="0"/>
              <w:rPr>
                <w:sz w:val="20"/>
              </w:rPr>
            </w:pPr>
            <w:r>
              <w:rPr>
                <w:sz w:val="20"/>
              </w:rPr>
              <w:t>T</w:t>
            </w:r>
            <w:r w:rsidRPr="003D4B2D">
              <w:rPr>
                <w:sz w:val="20"/>
              </w:rPr>
              <w:t>otal</w:t>
            </w:r>
          </w:p>
        </w:tc>
        <w:tc>
          <w:tcPr>
            <w:tcW w:w="1965" w:type="dxa"/>
          </w:tcPr>
          <w:p w:rsidR="00462276" w:rsidRPr="003D4B2D" w:rsidRDefault="00462276" w:rsidP="00462276">
            <w:pPr>
              <w:spacing w:before="0" w:after="0" w:line="240" w:lineRule="auto"/>
              <w:ind w:firstLine="0"/>
              <w:jc w:val="right"/>
              <w:rPr>
                <w:sz w:val="20"/>
              </w:rPr>
            </w:pPr>
            <w:r w:rsidRPr="003D4B2D">
              <w:rPr>
                <w:sz w:val="20"/>
              </w:rPr>
              <w:t>246,292,188.6</w:t>
            </w:r>
          </w:p>
        </w:tc>
        <w:tc>
          <w:tcPr>
            <w:tcW w:w="1579" w:type="dxa"/>
          </w:tcPr>
          <w:p w:rsidR="00462276" w:rsidRPr="003D4B2D" w:rsidRDefault="00462276" w:rsidP="00462276">
            <w:pPr>
              <w:spacing w:before="0" w:after="0" w:line="240" w:lineRule="auto"/>
              <w:ind w:firstLine="0"/>
              <w:jc w:val="right"/>
              <w:rPr>
                <w:sz w:val="20"/>
              </w:rPr>
            </w:pPr>
            <w:r w:rsidRPr="003D4B2D">
              <w:rPr>
                <w:sz w:val="20"/>
              </w:rPr>
              <w:t>46,263,388.7</w:t>
            </w:r>
          </w:p>
        </w:tc>
        <w:tc>
          <w:tcPr>
            <w:tcW w:w="1559" w:type="dxa"/>
          </w:tcPr>
          <w:p w:rsidR="00462276" w:rsidRPr="003D4B2D" w:rsidRDefault="00462276" w:rsidP="00462276">
            <w:pPr>
              <w:spacing w:before="0" w:after="0" w:line="240" w:lineRule="auto"/>
              <w:ind w:firstLine="0"/>
              <w:jc w:val="right"/>
              <w:rPr>
                <w:sz w:val="20"/>
              </w:rPr>
            </w:pPr>
            <w:r w:rsidRPr="003D4B2D">
              <w:rPr>
                <w:sz w:val="20"/>
              </w:rPr>
              <w:t>292,555,577.4</w:t>
            </w:r>
          </w:p>
        </w:tc>
        <w:tc>
          <w:tcPr>
            <w:tcW w:w="1276" w:type="dxa"/>
          </w:tcPr>
          <w:p w:rsidR="00462276" w:rsidRPr="003D4B2D" w:rsidRDefault="00462276" w:rsidP="00462276">
            <w:pPr>
              <w:spacing w:before="0" w:after="0" w:line="240" w:lineRule="auto"/>
              <w:ind w:firstLine="0"/>
              <w:jc w:val="right"/>
              <w:rPr>
                <w:sz w:val="20"/>
              </w:rPr>
            </w:pPr>
            <w:r w:rsidRPr="003D4B2D">
              <w:rPr>
                <w:sz w:val="20"/>
              </w:rPr>
              <w:t>100.0%</w:t>
            </w:r>
          </w:p>
        </w:tc>
      </w:tr>
      <w:tr w:rsidR="00462276" w:rsidRPr="003D4B2D" w:rsidTr="00462276">
        <w:trPr>
          <w:jc w:val="center"/>
        </w:trPr>
        <w:tc>
          <w:tcPr>
            <w:tcW w:w="1701" w:type="dxa"/>
          </w:tcPr>
          <w:p w:rsidR="00462276" w:rsidRPr="003D4B2D" w:rsidRDefault="00462276" w:rsidP="005D0A97">
            <w:pPr>
              <w:spacing w:before="0" w:after="0" w:line="240" w:lineRule="auto"/>
              <w:ind w:firstLine="0"/>
              <w:rPr>
                <w:sz w:val="20"/>
              </w:rPr>
            </w:pPr>
            <w:r w:rsidRPr="003D4B2D">
              <w:rPr>
                <w:sz w:val="20"/>
              </w:rPr>
              <w:t>%</w:t>
            </w:r>
            <w:r>
              <w:rPr>
                <w:sz w:val="20"/>
              </w:rPr>
              <w:t xml:space="preserve"> origen</w:t>
            </w:r>
          </w:p>
        </w:tc>
        <w:tc>
          <w:tcPr>
            <w:tcW w:w="1965" w:type="dxa"/>
          </w:tcPr>
          <w:p w:rsidR="00462276" w:rsidRPr="003D4B2D" w:rsidRDefault="00462276" w:rsidP="005D0A97">
            <w:pPr>
              <w:spacing w:before="0" w:after="0" w:line="240" w:lineRule="auto"/>
              <w:ind w:firstLine="0"/>
              <w:jc w:val="center"/>
              <w:rPr>
                <w:sz w:val="20"/>
              </w:rPr>
            </w:pPr>
            <w:r w:rsidRPr="003D4B2D">
              <w:rPr>
                <w:sz w:val="20"/>
              </w:rPr>
              <w:t>84.2%</w:t>
            </w:r>
          </w:p>
        </w:tc>
        <w:tc>
          <w:tcPr>
            <w:tcW w:w="1579" w:type="dxa"/>
          </w:tcPr>
          <w:p w:rsidR="00462276" w:rsidRPr="003D4B2D" w:rsidRDefault="00462276" w:rsidP="005D0A97">
            <w:pPr>
              <w:spacing w:before="0" w:after="0" w:line="240" w:lineRule="auto"/>
              <w:ind w:firstLine="0"/>
              <w:jc w:val="center"/>
              <w:rPr>
                <w:sz w:val="20"/>
              </w:rPr>
            </w:pPr>
            <w:r w:rsidRPr="003D4B2D">
              <w:rPr>
                <w:sz w:val="20"/>
              </w:rPr>
              <w:t>15.8%</w:t>
            </w:r>
          </w:p>
        </w:tc>
        <w:tc>
          <w:tcPr>
            <w:tcW w:w="1559" w:type="dxa"/>
          </w:tcPr>
          <w:p w:rsidR="00462276" w:rsidRPr="003D4B2D" w:rsidRDefault="00462276" w:rsidP="005D0A97">
            <w:pPr>
              <w:spacing w:before="0" w:after="0" w:line="240" w:lineRule="auto"/>
              <w:ind w:firstLine="0"/>
              <w:jc w:val="center"/>
              <w:rPr>
                <w:sz w:val="20"/>
              </w:rPr>
            </w:pPr>
            <w:r w:rsidRPr="003D4B2D">
              <w:rPr>
                <w:sz w:val="20"/>
              </w:rPr>
              <w:t>100.0%</w:t>
            </w:r>
          </w:p>
        </w:tc>
        <w:tc>
          <w:tcPr>
            <w:tcW w:w="1276" w:type="dxa"/>
          </w:tcPr>
          <w:p w:rsidR="00462276" w:rsidRPr="003D4B2D" w:rsidRDefault="00462276" w:rsidP="005D0A97">
            <w:pPr>
              <w:spacing w:before="0" w:after="0" w:line="240" w:lineRule="auto"/>
              <w:ind w:firstLine="0"/>
              <w:jc w:val="center"/>
              <w:rPr>
                <w:sz w:val="20"/>
              </w:rPr>
            </w:pPr>
          </w:p>
        </w:tc>
      </w:tr>
    </w:tbl>
    <w:p w:rsidR="002F065B" w:rsidRDefault="00462276" w:rsidP="00462276">
      <w:pPr>
        <w:pStyle w:val="Piedepgina"/>
        <w:jc w:val="center"/>
      </w:pPr>
      <w:r>
        <w:t>Fuente: Generación propia IGH, basa en información proporcionada del REPDA al 31 de diciembre</w:t>
      </w:r>
    </w:p>
    <w:p w:rsidR="000B2D7B" w:rsidRDefault="000B2D7B" w:rsidP="000B2D7B">
      <w:pPr>
        <w:pStyle w:val="Piedepgina"/>
        <w:rPr>
          <w:sz w:val="22"/>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19"/>
        <w:gridCol w:w="5609"/>
      </w:tblGrid>
      <w:tr w:rsidR="000B2D7B" w:rsidTr="00281021">
        <w:tc>
          <w:tcPr>
            <w:tcW w:w="4219" w:type="dxa"/>
          </w:tcPr>
          <w:p w:rsidR="00281021" w:rsidRDefault="00281021" w:rsidP="000B2D7B">
            <w:pPr>
              <w:pStyle w:val="Piedepgina"/>
              <w:rPr>
                <w:sz w:val="22"/>
                <w:szCs w:val="20"/>
              </w:rPr>
            </w:pPr>
          </w:p>
          <w:p w:rsidR="000B2D7B" w:rsidRPr="007B2304" w:rsidRDefault="000B2D7B" w:rsidP="000B2D7B">
            <w:pPr>
              <w:pStyle w:val="Piedepgina"/>
              <w:rPr>
                <w:sz w:val="22"/>
                <w:szCs w:val="20"/>
              </w:rPr>
            </w:pPr>
            <w:r w:rsidRPr="007B2304">
              <w:rPr>
                <w:sz w:val="22"/>
                <w:szCs w:val="20"/>
              </w:rPr>
              <w:t xml:space="preserve">En la </w:t>
            </w:r>
            <w:r w:rsidR="00BE2961">
              <w:rPr>
                <w:sz w:val="22"/>
                <w:szCs w:val="20"/>
              </w:rPr>
              <w:fldChar w:fldCharType="begin"/>
            </w:r>
            <w:r w:rsidR="00281021">
              <w:rPr>
                <w:sz w:val="22"/>
                <w:szCs w:val="20"/>
              </w:rPr>
              <w:instrText xml:space="preserve"> REF _Ref283738180 \r \h </w:instrText>
            </w:r>
            <w:r w:rsidR="00BE2961">
              <w:rPr>
                <w:sz w:val="22"/>
                <w:szCs w:val="20"/>
              </w:rPr>
            </w:r>
            <w:r w:rsidR="00BE2961">
              <w:rPr>
                <w:sz w:val="22"/>
                <w:szCs w:val="20"/>
              </w:rPr>
              <w:fldChar w:fldCharType="separate"/>
            </w:r>
            <w:r w:rsidR="001C36B4">
              <w:rPr>
                <w:sz w:val="22"/>
                <w:szCs w:val="20"/>
              </w:rPr>
              <w:t>Figura 6.2</w:t>
            </w:r>
            <w:r w:rsidR="00BE2961">
              <w:rPr>
                <w:sz w:val="22"/>
                <w:szCs w:val="20"/>
              </w:rPr>
              <w:fldChar w:fldCharType="end"/>
            </w:r>
            <w:r w:rsidR="00281021">
              <w:rPr>
                <w:sz w:val="22"/>
                <w:szCs w:val="20"/>
              </w:rPr>
              <w:t xml:space="preserve"> </w:t>
            </w:r>
            <w:r>
              <w:rPr>
                <w:sz w:val="22"/>
                <w:szCs w:val="20"/>
              </w:rPr>
              <w:t xml:space="preserve">se </w:t>
            </w:r>
            <w:r w:rsidR="00281021">
              <w:rPr>
                <w:sz w:val="22"/>
                <w:szCs w:val="20"/>
              </w:rPr>
              <w:t>observa</w:t>
            </w:r>
            <w:r>
              <w:rPr>
                <w:sz w:val="22"/>
                <w:szCs w:val="20"/>
              </w:rPr>
              <w:t xml:space="preserve"> que el volumen superficial en el acuífero de Huamantla representa únicamente el 0.5% (0.24 Hm</w:t>
            </w:r>
            <w:r w:rsidRPr="00281021">
              <w:rPr>
                <w:sz w:val="22"/>
                <w:szCs w:val="20"/>
                <w:vertAlign w:val="superscript"/>
              </w:rPr>
              <w:t>3</w:t>
            </w:r>
            <w:r>
              <w:rPr>
                <w:sz w:val="22"/>
                <w:szCs w:val="20"/>
              </w:rPr>
              <w:t xml:space="preserve">/año), </w:t>
            </w:r>
            <w:r w:rsidR="00281021">
              <w:rPr>
                <w:sz w:val="22"/>
                <w:szCs w:val="20"/>
              </w:rPr>
              <w:t xml:space="preserve">mientras que para </w:t>
            </w:r>
            <w:r>
              <w:rPr>
                <w:sz w:val="22"/>
                <w:szCs w:val="20"/>
              </w:rPr>
              <w:t>los acuíferos de Libres</w:t>
            </w:r>
            <w:r w:rsidR="00281021">
              <w:rPr>
                <w:sz w:val="22"/>
                <w:szCs w:val="20"/>
              </w:rPr>
              <w:t>-Oriental</w:t>
            </w:r>
            <w:r>
              <w:rPr>
                <w:sz w:val="22"/>
                <w:szCs w:val="20"/>
              </w:rPr>
              <w:t xml:space="preserve"> y Perote </w:t>
            </w:r>
            <w:r w:rsidR="00281021">
              <w:rPr>
                <w:sz w:val="22"/>
                <w:szCs w:val="20"/>
              </w:rPr>
              <w:t xml:space="preserve">–Zalayeta </w:t>
            </w:r>
            <w:r>
              <w:rPr>
                <w:sz w:val="22"/>
                <w:szCs w:val="20"/>
              </w:rPr>
              <w:t>representa el 18.8% (37.2 Hm</w:t>
            </w:r>
            <w:r w:rsidRPr="00281021">
              <w:rPr>
                <w:sz w:val="22"/>
                <w:szCs w:val="20"/>
                <w:vertAlign w:val="superscript"/>
              </w:rPr>
              <w:t>3</w:t>
            </w:r>
            <w:r>
              <w:rPr>
                <w:sz w:val="22"/>
                <w:szCs w:val="20"/>
              </w:rPr>
              <w:t>/año) y el 28.5% (8.8 Hm</w:t>
            </w:r>
            <w:r w:rsidRPr="00281021">
              <w:rPr>
                <w:sz w:val="22"/>
                <w:szCs w:val="20"/>
                <w:vertAlign w:val="superscript"/>
              </w:rPr>
              <w:t>3</w:t>
            </w:r>
            <w:r>
              <w:rPr>
                <w:sz w:val="22"/>
                <w:szCs w:val="20"/>
              </w:rPr>
              <w:t xml:space="preserve">/año) respectivamente. </w:t>
            </w:r>
          </w:p>
          <w:p w:rsidR="000B2D7B" w:rsidRDefault="000B2D7B" w:rsidP="000B2D7B">
            <w:pPr>
              <w:pStyle w:val="Piedepgina"/>
              <w:ind w:firstLine="0"/>
              <w:rPr>
                <w:sz w:val="22"/>
                <w:szCs w:val="20"/>
              </w:rPr>
            </w:pPr>
          </w:p>
        </w:tc>
        <w:tc>
          <w:tcPr>
            <w:tcW w:w="5609" w:type="dxa"/>
          </w:tcPr>
          <w:p w:rsidR="00281021" w:rsidRPr="00281021" w:rsidRDefault="00281021" w:rsidP="00281021">
            <w:pPr>
              <w:pStyle w:val="figura1cap6"/>
              <w:pBdr>
                <w:bottom w:val="none" w:sz="0" w:space="0" w:color="auto"/>
              </w:pBdr>
              <w:ind w:left="0" w:firstLine="0"/>
              <w:rPr>
                <w:rFonts w:eastAsia="Batang"/>
                <w:szCs w:val="20"/>
              </w:rPr>
            </w:pPr>
            <w:bookmarkStart w:id="166" w:name="_Ref283738180"/>
            <w:r w:rsidRPr="00281021">
              <w:rPr>
                <w:rFonts w:eastAsia="Batang"/>
                <w:szCs w:val="20"/>
              </w:rPr>
              <w:t>Distribución del volumen total concesionado</w:t>
            </w:r>
            <w:bookmarkEnd w:id="166"/>
          </w:p>
          <w:p w:rsidR="00281021" w:rsidRPr="00281021" w:rsidRDefault="00281021" w:rsidP="00281021">
            <w:pPr>
              <w:pStyle w:val="figura1cap6"/>
              <w:numPr>
                <w:ilvl w:val="0"/>
                <w:numId w:val="0"/>
              </w:numPr>
              <w:pBdr>
                <w:bottom w:val="none" w:sz="0" w:space="0" w:color="auto"/>
              </w:pBdr>
              <w:jc w:val="center"/>
              <w:rPr>
                <w:rFonts w:eastAsia="Batang"/>
                <w:szCs w:val="20"/>
              </w:rPr>
            </w:pPr>
            <w:r w:rsidRPr="00281021">
              <w:rPr>
                <w:noProof/>
                <w:lang w:eastAsia="es-MX"/>
              </w:rPr>
              <w:drawing>
                <wp:inline distT="0" distB="0" distL="0" distR="0">
                  <wp:extent cx="2956956" cy="1849686"/>
                  <wp:effectExtent l="19050" t="0" r="0" b="0"/>
                  <wp:docPr id="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b="8704"/>
                          <a:stretch>
                            <a:fillRect/>
                          </a:stretch>
                        </pic:blipFill>
                        <pic:spPr bwMode="auto">
                          <a:xfrm>
                            <a:off x="0" y="0"/>
                            <a:ext cx="2961568" cy="1852571"/>
                          </a:xfrm>
                          <a:prstGeom prst="rect">
                            <a:avLst/>
                          </a:prstGeom>
                          <a:noFill/>
                          <a:ln w="9525">
                            <a:noFill/>
                            <a:miter lim="800000"/>
                            <a:headEnd/>
                            <a:tailEnd/>
                          </a:ln>
                        </pic:spPr>
                      </pic:pic>
                    </a:graphicData>
                  </a:graphic>
                </wp:inline>
              </w:drawing>
            </w:r>
          </w:p>
        </w:tc>
      </w:tr>
    </w:tbl>
    <w:p w:rsidR="0094340F" w:rsidRDefault="0094340F" w:rsidP="0094340F">
      <w:r>
        <w:lastRenderedPageBreak/>
        <w:t>En el acuífero de Huamantla, la dependencia del volumen subterráneo es total, ya que el 99.5% del volumen explotado proviene de pozos profundos, en el acuífero de Libres el 82.2% del volumen concesionado es subterráneo y en contraste, en el acuífero de Perote el 71% del volumen demandado es de origen subterráneo. Con respeto a los aprovechamientos, el 79% de ellos son pozos subterráneos y el 21% son aprovechamientos superficiales.</w:t>
      </w:r>
    </w:p>
    <w:p w:rsidR="000B2D7B" w:rsidRDefault="000F528F" w:rsidP="000F528F">
      <w:pPr>
        <w:pStyle w:val="Tabla1cap6"/>
      </w:pPr>
      <w:r>
        <w:t>Aprovechamientos totales titulados</w:t>
      </w:r>
    </w:p>
    <w:tbl>
      <w:tblPr>
        <w:tblStyle w:val="Tablabsica1"/>
        <w:tblW w:w="10381" w:type="dxa"/>
        <w:tblLook w:val="04A0"/>
      </w:tblPr>
      <w:tblGrid>
        <w:gridCol w:w="2518"/>
        <w:gridCol w:w="1965"/>
        <w:gridCol w:w="1966"/>
        <w:gridCol w:w="1966"/>
        <w:gridCol w:w="1966"/>
      </w:tblGrid>
      <w:tr w:rsidR="000F528F" w:rsidRPr="009745EF" w:rsidTr="00873820">
        <w:trPr>
          <w:cnfStyle w:val="100000000000"/>
        </w:trPr>
        <w:tc>
          <w:tcPr>
            <w:tcW w:w="2518" w:type="dxa"/>
          </w:tcPr>
          <w:p w:rsidR="000F528F" w:rsidRPr="009745EF" w:rsidRDefault="000F528F" w:rsidP="00873820">
            <w:pPr>
              <w:pStyle w:val="Piedepgina"/>
              <w:tabs>
                <w:tab w:val="clear" w:pos="4419"/>
                <w:tab w:val="clear" w:pos="8838"/>
              </w:tabs>
              <w:spacing w:before="0" w:after="0" w:line="240" w:lineRule="auto"/>
              <w:ind w:firstLine="0"/>
              <w:rPr>
                <w:sz w:val="20"/>
                <w:szCs w:val="20"/>
              </w:rPr>
            </w:pPr>
          </w:p>
        </w:tc>
        <w:tc>
          <w:tcPr>
            <w:tcW w:w="1965"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SUBTERRANEO</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SUPERFICIAL</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TOTAL</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 Acuífero</w:t>
            </w:r>
          </w:p>
        </w:tc>
      </w:tr>
      <w:tr w:rsidR="000F528F" w:rsidRPr="009745EF" w:rsidTr="00873820">
        <w:tc>
          <w:tcPr>
            <w:tcW w:w="2518" w:type="dxa"/>
          </w:tcPr>
          <w:p w:rsidR="000F528F" w:rsidRPr="009745EF" w:rsidRDefault="000F528F" w:rsidP="00873820">
            <w:pPr>
              <w:pStyle w:val="Piedepgina"/>
              <w:tabs>
                <w:tab w:val="clear" w:pos="4419"/>
                <w:tab w:val="clear" w:pos="8838"/>
              </w:tabs>
              <w:spacing w:before="0" w:after="0" w:line="240" w:lineRule="auto"/>
              <w:ind w:firstLine="0"/>
              <w:rPr>
                <w:sz w:val="20"/>
                <w:szCs w:val="20"/>
              </w:rPr>
            </w:pPr>
            <w:r w:rsidRPr="009745EF">
              <w:rPr>
                <w:sz w:val="20"/>
                <w:szCs w:val="20"/>
              </w:rPr>
              <w:t>HUAMANTLA</w:t>
            </w:r>
          </w:p>
        </w:tc>
        <w:tc>
          <w:tcPr>
            <w:tcW w:w="1965"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265.0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5.0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270.0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14.8%</w:t>
            </w:r>
          </w:p>
        </w:tc>
      </w:tr>
      <w:tr w:rsidR="000F528F" w:rsidRPr="009745EF" w:rsidTr="00873820">
        <w:tc>
          <w:tcPr>
            <w:tcW w:w="2518" w:type="dxa"/>
          </w:tcPr>
          <w:p w:rsidR="000F528F" w:rsidRPr="009745EF" w:rsidRDefault="000F528F" w:rsidP="00873820">
            <w:pPr>
              <w:pStyle w:val="Piedepgina"/>
              <w:tabs>
                <w:tab w:val="clear" w:pos="4419"/>
                <w:tab w:val="clear" w:pos="8838"/>
              </w:tabs>
              <w:spacing w:before="0" w:after="0" w:line="240" w:lineRule="auto"/>
              <w:ind w:firstLine="0"/>
              <w:rPr>
                <w:sz w:val="20"/>
                <w:szCs w:val="20"/>
              </w:rPr>
            </w:pPr>
            <w:r w:rsidRPr="009745EF">
              <w:rPr>
                <w:sz w:val="20"/>
                <w:szCs w:val="20"/>
              </w:rPr>
              <w:t>LIBRES - ORIENTAL</w:t>
            </w:r>
          </w:p>
        </w:tc>
        <w:tc>
          <w:tcPr>
            <w:tcW w:w="1965"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1,063.0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185.0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1,248.0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68.3%</w:t>
            </w:r>
          </w:p>
        </w:tc>
      </w:tr>
      <w:tr w:rsidR="000F528F" w:rsidRPr="009745EF" w:rsidTr="00873820">
        <w:tc>
          <w:tcPr>
            <w:tcW w:w="2518" w:type="dxa"/>
          </w:tcPr>
          <w:p w:rsidR="000F528F" w:rsidRPr="009745EF" w:rsidRDefault="000F528F" w:rsidP="00873820">
            <w:pPr>
              <w:pStyle w:val="Piedepgina"/>
              <w:tabs>
                <w:tab w:val="clear" w:pos="4419"/>
                <w:tab w:val="clear" w:pos="8838"/>
              </w:tabs>
              <w:spacing w:before="0" w:after="0" w:line="240" w:lineRule="auto"/>
              <w:ind w:firstLine="0"/>
              <w:rPr>
                <w:sz w:val="20"/>
                <w:szCs w:val="20"/>
              </w:rPr>
            </w:pPr>
            <w:r w:rsidRPr="009745EF">
              <w:rPr>
                <w:sz w:val="20"/>
                <w:szCs w:val="20"/>
              </w:rPr>
              <w:t>PEROTE</w:t>
            </w:r>
          </w:p>
        </w:tc>
        <w:tc>
          <w:tcPr>
            <w:tcW w:w="1965"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114.0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194.0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308.0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16.9%</w:t>
            </w:r>
          </w:p>
        </w:tc>
      </w:tr>
      <w:tr w:rsidR="000F528F" w:rsidRPr="009745EF" w:rsidTr="00873820">
        <w:trPr>
          <w:trHeight w:val="106"/>
        </w:trPr>
        <w:tc>
          <w:tcPr>
            <w:tcW w:w="2518" w:type="dxa"/>
          </w:tcPr>
          <w:p w:rsidR="000F528F" w:rsidRPr="009745EF" w:rsidRDefault="000F528F" w:rsidP="00873820">
            <w:pPr>
              <w:pStyle w:val="Piedepgina"/>
              <w:tabs>
                <w:tab w:val="clear" w:pos="4419"/>
                <w:tab w:val="clear" w:pos="8838"/>
              </w:tabs>
              <w:spacing w:before="0" w:after="0" w:line="240" w:lineRule="auto"/>
              <w:ind w:firstLine="0"/>
              <w:rPr>
                <w:sz w:val="20"/>
                <w:szCs w:val="20"/>
              </w:rPr>
            </w:pPr>
            <w:r w:rsidRPr="009745EF">
              <w:rPr>
                <w:sz w:val="20"/>
                <w:szCs w:val="20"/>
              </w:rPr>
              <w:t>TOTAL</w:t>
            </w:r>
          </w:p>
        </w:tc>
        <w:tc>
          <w:tcPr>
            <w:tcW w:w="1965"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1,442.0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384.0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1,826.0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100.0%</w:t>
            </w:r>
          </w:p>
        </w:tc>
      </w:tr>
      <w:tr w:rsidR="000F528F" w:rsidRPr="009745EF" w:rsidTr="00873820">
        <w:tc>
          <w:tcPr>
            <w:tcW w:w="2518" w:type="dxa"/>
          </w:tcPr>
          <w:p w:rsidR="000F528F" w:rsidRPr="009745EF" w:rsidRDefault="000F528F" w:rsidP="00873820">
            <w:pPr>
              <w:pStyle w:val="Piedepgina"/>
              <w:tabs>
                <w:tab w:val="clear" w:pos="4419"/>
                <w:tab w:val="clear" w:pos="8838"/>
              </w:tabs>
              <w:spacing w:before="0" w:after="0" w:line="240" w:lineRule="auto"/>
              <w:ind w:firstLine="0"/>
              <w:rPr>
                <w:sz w:val="20"/>
                <w:szCs w:val="20"/>
              </w:rPr>
            </w:pPr>
            <w:r w:rsidRPr="009745EF">
              <w:rPr>
                <w:sz w:val="20"/>
                <w:szCs w:val="20"/>
              </w:rPr>
              <w:t>% Origen</w:t>
            </w:r>
          </w:p>
        </w:tc>
        <w:tc>
          <w:tcPr>
            <w:tcW w:w="1965"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79.0%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21.0%</w:t>
            </w: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p>
        </w:tc>
        <w:tc>
          <w:tcPr>
            <w:tcW w:w="1966" w:type="dxa"/>
          </w:tcPr>
          <w:p w:rsidR="000F528F" w:rsidRPr="009745EF" w:rsidRDefault="000F528F" w:rsidP="00873820">
            <w:pPr>
              <w:pStyle w:val="Piedepgina"/>
              <w:tabs>
                <w:tab w:val="clear" w:pos="4419"/>
                <w:tab w:val="clear" w:pos="8838"/>
              </w:tabs>
              <w:spacing w:before="0" w:after="0" w:line="240" w:lineRule="auto"/>
              <w:ind w:firstLine="0"/>
              <w:jc w:val="center"/>
              <w:rPr>
                <w:sz w:val="20"/>
                <w:szCs w:val="20"/>
              </w:rPr>
            </w:pPr>
            <w:r w:rsidRPr="009745EF">
              <w:rPr>
                <w:sz w:val="20"/>
                <w:szCs w:val="20"/>
              </w:rPr>
              <w:t>100.0%</w:t>
            </w:r>
          </w:p>
        </w:tc>
      </w:tr>
    </w:tbl>
    <w:p w:rsidR="000F528F" w:rsidRDefault="000F528F" w:rsidP="000F528F">
      <w:pPr>
        <w:pStyle w:val="Piedepgina"/>
      </w:pPr>
      <w:r>
        <w:t>Fuente: Generación propia IGH, basa en información proporcionada del REPDA al 31 de diciembre</w:t>
      </w:r>
    </w:p>
    <w:p w:rsidR="000F528F" w:rsidRDefault="000F528F" w:rsidP="000F528F">
      <w:r>
        <w:t>Al clasificar el volumen concesionado con respecto al uso, el agrícola representa el 85.0%, el público urbano y el industrial el 10.0% y 4.4%, respectivamente, muy lejos están los usos pecuario, servicio, doméstico, múltiple y acuícola.</w:t>
      </w:r>
    </w:p>
    <w:p w:rsidR="00A529C5" w:rsidRDefault="00A529C5" w:rsidP="00141B56">
      <w:pPr>
        <w:pStyle w:val="Tabla1cap6"/>
        <w:ind w:left="0" w:firstLine="0"/>
      </w:pPr>
      <w:r w:rsidRPr="00A529C5">
        <w:t xml:space="preserve">Volumen </w:t>
      </w:r>
      <w:r w:rsidR="00425823">
        <w:t xml:space="preserve">subterráneo </w:t>
      </w:r>
      <w:r w:rsidRPr="00A529C5">
        <w:t>concesionado por acuífero según uso</w:t>
      </w:r>
      <w:r w:rsidR="00425823">
        <w:t xml:space="preserve">  (</w:t>
      </w:r>
      <w:r w:rsidR="00CB5F93">
        <w:t xml:space="preserve"> </w:t>
      </w:r>
      <w:r w:rsidR="00425823">
        <w:t>m3/año)</w:t>
      </w:r>
    </w:p>
    <w:tbl>
      <w:tblPr>
        <w:tblStyle w:val="Tablabsica1"/>
        <w:tblW w:w="10154" w:type="dxa"/>
        <w:tblLayout w:type="fixed"/>
        <w:tblLook w:val="04A0"/>
      </w:tblPr>
      <w:tblGrid>
        <w:gridCol w:w="2093"/>
        <w:gridCol w:w="1559"/>
        <w:gridCol w:w="2410"/>
        <w:gridCol w:w="1701"/>
        <w:gridCol w:w="1496"/>
        <w:gridCol w:w="895"/>
      </w:tblGrid>
      <w:tr w:rsidR="00425823" w:rsidRPr="00425823" w:rsidTr="002E1A6C">
        <w:trPr>
          <w:cnfStyle w:val="100000000000"/>
        </w:trPr>
        <w:tc>
          <w:tcPr>
            <w:tcW w:w="2093" w:type="dxa"/>
          </w:tcPr>
          <w:p w:rsidR="00425823" w:rsidRPr="00425823" w:rsidRDefault="00425823" w:rsidP="00425823">
            <w:pPr>
              <w:spacing w:before="40" w:after="40" w:line="240" w:lineRule="auto"/>
              <w:ind w:firstLine="0"/>
              <w:rPr>
                <w:sz w:val="16"/>
                <w:szCs w:val="16"/>
              </w:rPr>
            </w:pPr>
            <w:r w:rsidRPr="00425823">
              <w:rPr>
                <w:sz w:val="16"/>
                <w:szCs w:val="16"/>
              </w:rPr>
              <w:t>USO</w:t>
            </w:r>
          </w:p>
        </w:tc>
        <w:tc>
          <w:tcPr>
            <w:tcW w:w="1559" w:type="dxa"/>
          </w:tcPr>
          <w:p w:rsidR="00425823" w:rsidRPr="00425823" w:rsidRDefault="00425823" w:rsidP="00425823">
            <w:pPr>
              <w:spacing w:before="40" w:after="40" w:line="240" w:lineRule="auto"/>
              <w:ind w:firstLine="0"/>
              <w:jc w:val="center"/>
              <w:rPr>
                <w:sz w:val="16"/>
                <w:szCs w:val="16"/>
              </w:rPr>
            </w:pPr>
            <w:r w:rsidRPr="00425823">
              <w:rPr>
                <w:sz w:val="16"/>
                <w:szCs w:val="16"/>
              </w:rPr>
              <w:t>HUAMANTLA</w:t>
            </w:r>
          </w:p>
        </w:tc>
        <w:tc>
          <w:tcPr>
            <w:tcW w:w="2410" w:type="dxa"/>
          </w:tcPr>
          <w:p w:rsidR="00425823" w:rsidRPr="00425823" w:rsidRDefault="00425823" w:rsidP="00425823">
            <w:pPr>
              <w:spacing w:before="40" w:after="40" w:line="240" w:lineRule="auto"/>
              <w:ind w:firstLine="0"/>
              <w:jc w:val="center"/>
              <w:rPr>
                <w:sz w:val="16"/>
                <w:szCs w:val="16"/>
              </w:rPr>
            </w:pPr>
            <w:r w:rsidRPr="00425823">
              <w:rPr>
                <w:sz w:val="16"/>
                <w:szCs w:val="16"/>
              </w:rPr>
              <w:t>LIBRES - ORIENTAL</w:t>
            </w:r>
          </w:p>
        </w:tc>
        <w:tc>
          <w:tcPr>
            <w:tcW w:w="1701" w:type="dxa"/>
          </w:tcPr>
          <w:p w:rsidR="00425823" w:rsidRPr="00425823" w:rsidRDefault="00425823" w:rsidP="00425823">
            <w:pPr>
              <w:spacing w:before="40" w:after="40" w:line="240" w:lineRule="auto"/>
              <w:ind w:firstLine="0"/>
              <w:jc w:val="center"/>
              <w:rPr>
                <w:sz w:val="16"/>
                <w:szCs w:val="16"/>
              </w:rPr>
            </w:pPr>
            <w:r w:rsidRPr="00425823">
              <w:rPr>
                <w:sz w:val="16"/>
                <w:szCs w:val="16"/>
              </w:rPr>
              <w:t>PEROTE</w:t>
            </w:r>
          </w:p>
        </w:tc>
        <w:tc>
          <w:tcPr>
            <w:tcW w:w="1496" w:type="dxa"/>
          </w:tcPr>
          <w:p w:rsidR="00425823" w:rsidRPr="00425823" w:rsidRDefault="00425823" w:rsidP="00425823">
            <w:pPr>
              <w:spacing w:before="40" w:after="40" w:line="240" w:lineRule="auto"/>
              <w:ind w:firstLine="0"/>
              <w:jc w:val="center"/>
              <w:rPr>
                <w:sz w:val="16"/>
                <w:szCs w:val="16"/>
              </w:rPr>
            </w:pPr>
            <w:r w:rsidRPr="00425823">
              <w:rPr>
                <w:sz w:val="16"/>
                <w:szCs w:val="16"/>
              </w:rPr>
              <w:t>TOTAL</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 uso</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ACUACULTURA</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0.0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6,289.0</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0.0</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6,289.0</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0.0%</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AGRICOLA</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41,135,509.2</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148,238,395.1</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20,034,710.2</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209,408,614.5</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85.0%</w:t>
            </w:r>
          </w:p>
        </w:tc>
      </w:tr>
      <w:tr w:rsidR="00425823" w:rsidRPr="00425823" w:rsidTr="002E1A6C">
        <w:trPr>
          <w:trHeight w:val="132"/>
        </w:trPr>
        <w:tc>
          <w:tcPr>
            <w:tcW w:w="2093" w:type="dxa"/>
          </w:tcPr>
          <w:p w:rsidR="00425823" w:rsidRPr="00425823" w:rsidRDefault="00425823" w:rsidP="00425823">
            <w:pPr>
              <w:spacing w:before="40" w:after="40" w:line="240" w:lineRule="auto"/>
              <w:ind w:firstLine="0"/>
              <w:rPr>
                <w:sz w:val="16"/>
                <w:szCs w:val="16"/>
              </w:rPr>
            </w:pPr>
            <w:r w:rsidRPr="00425823">
              <w:rPr>
                <w:sz w:val="16"/>
                <w:szCs w:val="16"/>
              </w:rPr>
              <w:t>PUBLICO URBANO</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9,643,753.0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14,073,196.7</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833,814.3</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24,550,763.9</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10.0%</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INDUSTRIAL</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1,755,798.0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8,614,973.0</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480,652.0</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10,851,423.0</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4.4%</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PECUARIO</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0.0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329,637.0</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640,608.0</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970,245.0</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0.4%</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SERVICIOS</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131,506.0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123,277.0</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0.0</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254,783.0</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0.1%</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DOMESTICO</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3,820.0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5,007.3</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0.0</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8,827.3</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0.0%</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MULTIPLE</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162,204.0</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1,679.0</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77,360.0</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241,243.0</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0.1%</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TOTAL</w:t>
            </w:r>
          </w:p>
        </w:tc>
        <w:tc>
          <w:tcPr>
            <w:tcW w:w="1559" w:type="dxa"/>
          </w:tcPr>
          <w:p w:rsidR="00425823" w:rsidRPr="00425823" w:rsidRDefault="00425823" w:rsidP="00425823">
            <w:pPr>
              <w:spacing w:before="40" w:after="40" w:line="240" w:lineRule="auto"/>
              <w:ind w:firstLine="0"/>
              <w:jc w:val="right"/>
              <w:rPr>
                <w:sz w:val="16"/>
                <w:szCs w:val="16"/>
              </w:rPr>
            </w:pPr>
            <w:r w:rsidRPr="00425823">
              <w:rPr>
                <w:sz w:val="16"/>
                <w:szCs w:val="16"/>
              </w:rPr>
              <w:t>52,832,590.2</w:t>
            </w:r>
          </w:p>
        </w:tc>
        <w:tc>
          <w:tcPr>
            <w:tcW w:w="2410" w:type="dxa"/>
          </w:tcPr>
          <w:p w:rsidR="00425823" w:rsidRPr="00425823" w:rsidRDefault="00425823" w:rsidP="00425823">
            <w:pPr>
              <w:spacing w:before="40" w:after="40" w:line="240" w:lineRule="auto"/>
              <w:ind w:firstLine="0"/>
              <w:jc w:val="right"/>
              <w:rPr>
                <w:sz w:val="16"/>
                <w:szCs w:val="16"/>
              </w:rPr>
            </w:pPr>
            <w:r w:rsidRPr="00425823">
              <w:rPr>
                <w:sz w:val="16"/>
                <w:szCs w:val="16"/>
              </w:rPr>
              <w:t>171,392,454.0</w:t>
            </w:r>
          </w:p>
        </w:tc>
        <w:tc>
          <w:tcPr>
            <w:tcW w:w="1701" w:type="dxa"/>
          </w:tcPr>
          <w:p w:rsidR="00425823" w:rsidRPr="00425823" w:rsidRDefault="00425823" w:rsidP="00425823">
            <w:pPr>
              <w:spacing w:before="40" w:after="40" w:line="240" w:lineRule="auto"/>
              <w:ind w:firstLine="0"/>
              <w:jc w:val="right"/>
              <w:rPr>
                <w:sz w:val="16"/>
                <w:szCs w:val="16"/>
              </w:rPr>
            </w:pPr>
            <w:r w:rsidRPr="00425823">
              <w:rPr>
                <w:sz w:val="16"/>
                <w:szCs w:val="16"/>
              </w:rPr>
              <w:t>22,067,144.5</w:t>
            </w:r>
          </w:p>
        </w:tc>
        <w:tc>
          <w:tcPr>
            <w:tcW w:w="1496" w:type="dxa"/>
          </w:tcPr>
          <w:p w:rsidR="00425823" w:rsidRPr="00425823" w:rsidRDefault="00425823" w:rsidP="00425823">
            <w:pPr>
              <w:spacing w:before="40" w:after="40" w:line="240" w:lineRule="auto"/>
              <w:ind w:firstLine="0"/>
              <w:jc w:val="right"/>
              <w:rPr>
                <w:sz w:val="16"/>
                <w:szCs w:val="16"/>
              </w:rPr>
            </w:pPr>
            <w:r w:rsidRPr="00425823">
              <w:rPr>
                <w:sz w:val="16"/>
                <w:szCs w:val="16"/>
              </w:rPr>
              <w:t>246,292,188.6</w:t>
            </w:r>
          </w:p>
        </w:tc>
        <w:tc>
          <w:tcPr>
            <w:tcW w:w="895" w:type="dxa"/>
          </w:tcPr>
          <w:p w:rsidR="00425823" w:rsidRPr="00425823" w:rsidRDefault="00425823" w:rsidP="00425823">
            <w:pPr>
              <w:spacing w:before="40" w:after="40" w:line="240" w:lineRule="auto"/>
              <w:ind w:firstLine="0"/>
              <w:jc w:val="center"/>
              <w:rPr>
                <w:sz w:val="16"/>
                <w:szCs w:val="16"/>
              </w:rPr>
            </w:pPr>
            <w:r w:rsidRPr="00425823">
              <w:rPr>
                <w:sz w:val="16"/>
                <w:szCs w:val="16"/>
              </w:rPr>
              <w:t>100.0%</w:t>
            </w:r>
          </w:p>
        </w:tc>
      </w:tr>
      <w:tr w:rsidR="00425823" w:rsidRPr="00425823" w:rsidTr="002E1A6C">
        <w:tc>
          <w:tcPr>
            <w:tcW w:w="2093" w:type="dxa"/>
          </w:tcPr>
          <w:p w:rsidR="00425823" w:rsidRPr="00425823" w:rsidRDefault="00425823" w:rsidP="00425823">
            <w:pPr>
              <w:spacing w:before="40" w:after="40" w:line="240" w:lineRule="auto"/>
              <w:ind w:firstLine="0"/>
              <w:rPr>
                <w:sz w:val="16"/>
                <w:szCs w:val="16"/>
              </w:rPr>
            </w:pPr>
            <w:r w:rsidRPr="00425823">
              <w:rPr>
                <w:sz w:val="16"/>
                <w:szCs w:val="16"/>
              </w:rPr>
              <w:t>% acuífero</w:t>
            </w:r>
          </w:p>
        </w:tc>
        <w:tc>
          <w:tcPr>
            <w:tcW w:w="1559" w:type="dxa"/>
          </w:tcPr>
          <w:p w:rsidR="00425823" w:rsidRPr="00425823" w:rsidRDefault="00425823" w:rsidP="00425823">
            <w:pPr>
              <w:spacing w:before="40" w:after="40" w:line="240" w:lineRule="auto"/>
              <w:ind w:firstLine="0"/>
              <w:jc w:val="center"/>
              <w:rPr>
                <w:sz w:val="16"/>
                <w:szCs w:val="16"/>
              </w:rPr>
            </w:pPr>
            <w:r w:rsidRPr="00425823">
              <w:rPr>
                <w:sz w:val="16"/>
                <w:szCs w:val="16"/>
              </w:rPr>
              <w:t>21.5%</w:t>
            </w:r>
          </w:p>
        </w:tc>
        <w:tc>
          <w:tcPr>
            <w:tcW w:w="2410" w:type="dxa"/>
          </w:tcPr>
          <w:p w:rsidR="00425823" w:rsidRPr="00425823" w:rsidRDefault="00425823" w:rsidP="00425823">
            <w:pPr>
              <w:spacing w:before="40" w:after="40" w:line="240" w:lineRule="auto"/>
              <w:ind w:firstLine="0"/>
              <w:jc w:val="center"/>
              <w:rPr>
                <w:sz w:val="16"/>
                <w:szCs w:val="16"/>
              </w:rPr>
            </w:pPr>
            <w:r w:rsidRPr="00425823">
              <w:rPr>
                <w:sz w:val="16"/>
                <w:szCs w:val="16"/>
              </w:rPr>
              <w:t>69.6%</w:t>
            </w:r>
          </w:p>
        </w:tc>
        <w:tc>
          <w:tcPr>
            <w:tcW w:w="1701" w:type="dxa"/>
          </w:tcPr>
          <w:p w:rsidR="00425823" w:rsidRPr="00425823" w:rsidRDefault="00425823" w:rsidP="00425823">
            <w:pPr>
              <w:spacing w:before="40" w:after="40" w:line="240" w:lineRule="auto"/>
              <w:ind w:firstLine="0"/>
              <w:jc w:val="center"/>
              <w:rPr>
                <w:sz w:val="16"/>
                <w:szCs w:val="16"/>
              </w:rPr>
            </w:pPr>
            <w:r w:rsidRPr="00425823">
              <w:rPr>
                <w:sz w:val="16"/>
                <w:szCs w:val="16"/>
              </w:rPr>
              <w:t>9.0%</w:t>
            </w:r>
          </w:p>
        </w:tc>
        <w:tc>
          <w:tcPr>
            <w:tcW w:w="1496" w:type="dxa"/>
          </w:tcPr>
          <w:p w:rsidR="00425823" w:rsidRPr="00425823" w:rsidRDefault="00425823" w:rsidP="00425823">
            <w:pPr>
              <w:spacing w:before="40" w:after="40" w:line="240" w:lineRule="auto"/>
              <w:ind w:firstLine="0"/>
              <w:jc w:val="center"/>
              <w:rPr>
                <w:sz w:val="16"/>
                <w:szCs w:val="16"/>
              </w:rPr>
            </w:pPr>
            <w:r w:rsidRPr="00425823">
              <w:rPr>
                <w:sz w:val="16"/>
                <w:szCs w:val="16"/>
              </w:rPr>
              <w:t>100%</w:t>
            </w:r>
          </w:p>
        </w:tc>
        <w:tc>
          <w:tcPr>
            <w:tcW w:w="895" w:type="dxa"/>
          </w:tcPr>
          <w:p w:rsidR="00425823" w:rsidRPr="00425823" w:rsidRDefault="00425823" w:rsidP="00425823">
            <w:pPr>
              <w:spacing w:before="40" w:after="40" w:line="240" w:lineRule="auto"/>
              <w:ind w:firstLine="0"/>
              <w:jc w:val="center"/>
              <w:rPr>
                <w:sz w:val="16"/>
                <w:szCs w:val="16"/>
              </w:rPr>
            </w:pPr>
          </w:p>
        </w:tc>
      </w:tr>
    </w:tbl>
    <w:p w:rsidR="00A529C5" w:rsidRDefault="00A8167F" w:rsidP="00A529C5">
      <w:pPr>
        <w:pStyle w:val="Piedepgina"/>
      </w:pPr>
      <w:r>
        <w:t>Fuente</w:t>
      </w:r>
      <w:r w:rsidR="00425823">
        <w:t>: Generación propia IGH, basa en información proporcionada del REPDA al 31 de diciembre</w:t>
      </w:r>
    </w:p>
    <w:p w:rsidR="00A529C5" w:rsidRDefault="00A529C5" w:rsidP="00141B56">
      <w:pPr>
        <w:pStyle w:val="figura1cap6"/>
        <w:ind w:left="0" w:firstLine="0"/>
      </w:pPr>
      <w:r w:rsidRPr="00A529C5">
        <w:t xml:space="preserve">Distribución del volumen </w:t>
      </w:r>
      <w:r w:rsidR="00425823">
        <w:t xml:space="preserve">subterráneo </w:t>
      </w:r>
      <w:r w:rsidRPr="00A529C5">
        <w:t>concesionado por uso</w:t>
      </w:r>
    </w:p>
    <w:p w:rsidR="0089569B" w:rsidRPr="0089569B" w:rsidRDefault="0089569B" w:rsidP="0089569B">
      <w:pPr>
        <w:jc w:val="center"/>
      </w:pPr>
      <w:r w:rsidRPr="0089569B">
        <w:rPr>
          <w:noProof/>
          <w:lang w:eastAsia="es-MX"/>
        </w:rPr>
        <w:drawing>
          <wp:inline distT="0" distB="0" distL="0" distR="0">
            <wp:extent cx="3158836" cy="1813784"/>
            <wp:effectExtent l="0" t="0" r="0" b="0"/>
            <wp:docPr id="9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3159546" cy="1814192"/>
                    </a:xfrm>
                    <a:prstGeom prst="rect">
                      <a:avLst/>
                    </a:prstGeom>
                    <a:noFill/>
                    <a:ln w="9525">
                      <a:noFill/>
                      <a:miter lim="800000"/>
                      <a:headEnd/>
                      <a:tailEnd/>
                    </a:ln>
                  </pic:spPr>
                </pic:pic>
              </a:graphicData>
            </a:graphic>
          </wp:inline>
        </w:drawing>
      </w:r>
    </w:p>
    <w:p w:rsidR="0089569B" w:rsidRDefault="00A8167F" w:rsidP="0089569B">
      <w:pPr>
        <w:pStyle w:val="Piedepgina"/>
        <w:jc w:val="center"/>
      </w:pPr>
      <w:r>
        <w:t>Fuente</w:t>
      </w:r>
      <w:r w:rsidR="0089569B">
        <w:t>: Generación propia IGH, basa en información proporcionada del REPDA al 31 de diciembre</w:t>
      </w:r>
    </w:p>
    <w:p w:rsidR="0084005E" w:rsidRDefault="00CB5F93" w:rsidP="0084005E">
      <w:pPr>
        <w:pStyle w:val="figura1cap6"/>
        <w:ind w:left="0" w:firstLine="0"/>
      </w:pPr>
      <w:r>
        <w:lastRenderedPageBreak/>
        <w:t>A</w:t>
      </w:r>
      <w:r w:rsidR="009D7D93">
        <w:t>provechamientos subterráneos clasificados según su rango de volumen concesionado</w:t>
      </w:r>
    </w:p>
    <w:p w:rsidR="0084005E" w:rsidRDefault="008011C2" w:rsidP="003618A3">
      <w:pPr>
        <w:jc w:val="center"/>
      </w:pPr>
      <w:r>
        <w:rPr>
          <w:noProof/>
          <w:lang w:eastAsia="es-MX"/>
        </w:rPr>
        <w:drawing>
          <wp:inline distT="0" distB="0" distL="0" distR="0">
            <wp:extent cx="3865802" cy="2909454"/>
            <wp:effectExtent l="19050" t="0" r="1348" b="0"/>
            <wp:docPr id="58" name="25 Imagen" descr="repda aprovechamien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 Imagen" descr="repda aprovechamiento.png"/>
                    <pic:cNvPicPr>
                      <a:picLocks noChangeAspect="1" noChangeArrowheads="1"/>
                    </pic:cNvPicPr>
                  </pic:nvPicPr>
                  <pic:blipFill>
                    <a:blip r:embed="rId78" cstate="print"/>
                    <a:srcRect l="4338" t="4877" r="3783" b="5855"/>
                    <a:stretch>
                      <a:fillRect/>
                    </a:stretch>
                  </pic:blipFill>
                  <pic:spPr bwMode="auto">
                    <a:xfrm>
                      <a:off x="0" y="0"/>
                      <a:ext cx="3872657" cy="2914613"/>
                    </a:xfrm>
                    <a:prstGeom prst="rect">
                      <a:avLst/>
                    </a:prstGeom>
                    <a:noFill/>
                    <a:ln w="9525">
                      <a:noFill/>
                      <a:miter lim="800000"/>
                      <a:headEnd/>
                      <a:tailEnd/>
                    </a:ln>
                  </pic:spPr>
                </pic:pic>
              </a:graphicData>
            </a:graphic>
          </wp:inline>
        </w:drawing>
      </w:r>
    </w:p>
    <w:p w:rsidR="00C0170B" w:rsidRDefault="00C0170B" w:rsidP="00C0170B">
      <w:pPr>
        <w:pStyle w:val="Tabla1cap6"/>
        <w:ind w:left="0" w:firstLine="0"/>
      </w:pPr>
      <w:r>
        <w:t>Aprovechamiento histórico por sector usuario y proyección tendencial al año 2040.</w:t>
      </w:r>
    </w:p>
    <w:tbl>
      <w:tblPr>
        <w:tblStyle w:val="Tablabsica1"/>
        <w:tblW w:w="4934" w:type="pct"/>
        <w:tblLayout w:type="fixed"/>
        <w:tblLook w:val="04A0"/>
      </w:tblPr>
      <w:tblGrid>
        <w:gridCol w:w="1641"/>
        <w:gridCol w:w="1583"/>
        <w:gridCol w:w="969"/>
        <w:gridCol w:w="698"/>
        <w:gridCol w:w="698"/>
        <w:gridCol w:w="698"/>
        <w:gridCol w:w="698"/>
        <w:gridCol w:w="698"/>
        <w:gridCol w:w="698"/>
        <w:gridCol w:w="698"/>
        <w:gridCol w:w="694"/>
      </w:tblGrid>
      <w:tr w:rsidR="00032A3A" w:rsidRPr="000C1C15" w:rsidTr="002E58B2">
        <w:trPr>
          <w:cnfStyle w:val="100000000000"/>
          <w:trHeight w:val="300"/>
          <w:tblHeader/>
        </w:trPr>
        <w:tc>
          <w:tcPr>
            <w:tcW w:w="840" w:type="pct"/>
            <w:noWrap/>
            <w:vAlign w:val="center"/>
            <w:hideMark/>
          </w:tcPr>
          <w:p w:rsidR="00032A3A" w:rsidRPr="000C1C15" w:rsidRDefault="00032A3A" w:rsidP="00873820">
            <w:pPr>
              <w:spacing w:before="0" w:after="0" w:line="240" w:lineRule="auto"/>
              <w:ind w:firstLine="0"/>
              <w:jc w:val="center"/>
              <w:rPr>
                <w:rFonts w:ascii="Calibri" w:eastAsia="Times New Roman" w:hAnsi="Calibri" w:cs="Times New Roman"/>
                <w:szCs w:val="22"/>
                <w:lang w:eastAsia="es-MX"/>
              </w:rPr>
            </w:pPr>
            <w:r>
              <w:rPr>
                <w:rFonts w:ascii="Calibri" w:eastAsia="Times New Roman" w:hAnsi="Calibri" w:cs="Times New Roman"/>
                <w:szCs w:val="22"/>
                <w:lang w:eastAsia="es-MX"/>
              </w:rPr>
              <w:t>TENDENCIA ACTUAL</w:t>
            </w:r>
          </w:p>
        </w:tc>
        <w:tc>
          <w:tcPr>
            <w:tcW w:w="810" w:type="pct"/>
            <w:noWrap/>
            <w:vAlign w:val="center"/>
            <w:hideMark/>
          </w:tcPr>
          <w:p w:rsidR="00032A3A" w:rsidRPr="000C1C15" w:rsidRDefault="00032A3A" w:rsidP="00873820">
            <w:pPr>
              <w:spacing w:before="0" w:after="0" w:line="240" w:lineRule="auto"/>
              <w:ind w:firstLine="0"/>
              <w:jc w:val="center"/>
              <w:rPr>
                <w:rFonts w:ascii="Calibri" w:eastAsia="Times New Roman" w:hAnsi="Calibri" w:cs="Times New Roman"/>
                <w:szCs w:val="22"/>
                <w:lang w:eastAsia="es-MX"/>
              </w:rPr>
            </w:pPr>
            <w:r>
              <w:rPr>
                <w:rFonts w:ascii="Calibri" w:eastAsia="Times New Roman" w:hAnsi="Calibri" w:cs="Times New Roman"/>
                <w:szCs w:val="22"/>
                <w:lang w:eastAsia="es-MX"/>
              </w:rPr>
              <w:t>Acuífero</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1967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1985</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1996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2000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2010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2018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2024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2030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b/>
                <w:bCs/>
                <w:i/>
                <w:iCs/>
                <w:sz w:val="20"/>
                <w:lang w:eastAsia="es-MX"/>
              </w:rPr>
            </w:pPr>
            <w:r w:rsidRPr="000C1C15">
              <w:rPr>
                <w:rFonts w:ascii="Arial Narrow" w:eastAsia="Times New Roman" w:hAnsi="Arial Narrow" w:cs="Times New Roman"/>
                <w:b/>
                <w:bCs/>
                <w:i/>
                <w:iCs/>
                <w:sz w:val="20"/>
                <w:lang w:eastAsia="es-MX"/>
              </w:rPr>
              <w:t>2040</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Libres Oriental</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60.943</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123.46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190.06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197.66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188.00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177.87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170.63</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163.68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152.73</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Huamantla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27.425</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55.557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85.528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88.949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84.600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75.729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69.692</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64.136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55.842</w:t>
            </w:r>
          </w:p>
        </w:tc>
      </w:tr>
      <w:tr w:rsidR="00032A3A" w:rsidRPr="000C1C15" w:rsidTr="00873820">
        <w:trPr>
          <w:trHeight w:val="300"/>
        </w:trPr>
        <w:tc>
          <w:tcPr>
            <w:tcW w:w="84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Perote Zalayeta</w:t>
            </w:r>
          </w:p>
        </w:tc>
        <w:tc>
          <w:tcPr>
            <w:tcW w:w="496"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7.238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8.146</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10.948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10.948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10.948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10.948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10.948</w:t>
            </w:r>
          </w:p>
        </w:tc>
      </w:tr>
      <w:tr w:rsidR="00032A3A" w:rsidRPr="000C1C15" w:rsidTr="00873820">
        <w:trPr>
          <w:trHeight w:val="300"/>
        </w:trPr>
        <w:tc>
          <w:tcPr>
            <w:tcW w:w="84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Aprovechamiento agrícola</w:t>
            </w:r>
          </w:p>
        </w:tc>
        <w:tc>
          <w:tcPr>
            <w:tcW w:w="81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Pr>
                <w:rFonts w:ascii="Arial Narrow" w:eastAsia="Times New Roman" w:hAnsi="Arial Narrow" w:cs="Times New Roman"/>
                <w:sz w:val="20"/>
                <w:lang w:eastAsia="es-MX"/>
              </w:rPr>
              <w:t>Subtotal</w:t>
            </w:r>
          </w:p>
        </w:tc>
        <w:tc>
          <w:tcPr>
            <w:tcW w:w="496"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88.368</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179.01</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282.82</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294.75</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283.54</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264.54</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251.27</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238.77</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Pr>
                <w:rFonts w:ascii="Arial Narrow" w:eastAsia="Times New Roman" w:hAnsi="Arial Narrow" w:cs="Times New Roman"/>
                <w:sz w:val="18"/>
                <w:lang w:eastAsia="es-MX"/>
              </w:rPr>
              <w:t>219.52</w:t>
            </w:r>
          </w:p>
        </w:tc>
      </w:tr>
      <w:tr w:rsidR="00032A3A" w:rsidRPr="000C1C15" w:rsidTr="00873820">
        <w:trPr>
          <w:trHeight w:val="300"/>
        </w:trPr>
        <w:tc>
          <w:tcPr>
            <w:tcW w:w="84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Libres Oriental</w:t>
            </w:r>
          </w:p>
        </w:tc>
        <w:tc>
          <w:tcPr>
            <w:tcW w:w="496"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5.648</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11.441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17.613</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20.605</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30.500</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31.820</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32.589</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33.145</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33.549</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Huamantla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1.730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4.164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7.121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8.656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14.100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16.091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17.564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18.974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21.075</w:t>
            </w:r>
          </w:p>
        </w:tc>
      </w:tr>
      <w:tr w:rsidR="00032A3A" w:rsidRPr="000C1C15" w:rsidTr="00873820">
        <w:trPr>
          <w:trHeight w:val="300"/>
        </w:trPr>
        <w:tc>
          <w:tcPr>
            <w:tcW w:w="84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Perote Zalayeta</w:t>
            </w:r>
          </w:p>
        </w:tc>
        <w:tc>
          <w:tcPr>
            <w:tcW w:w="496"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0.164</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0.332</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0.511</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0.598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0.885</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1.023</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1.121</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1.211</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1.329</w:t>
            </w:r>
          </w:p>
        </w:tc>
      </w:tr>
      <w:tr w:rsidR="00032A3A" w:rsidRPr="000C1C15" w:rsidTr="00873820">
        <w:trPr>
          <w:trHeight w:val="300"/>
        </w:trPr>
        <w:tc>
          <w:tcPr>
            <w:tcW w:w="84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Aprovechamiento público - urbano</w:t>
            </w:r>
          </w:p>
        </w:tc>
        <w:tc>
          <w:tcPr>
            <w:tcW w:w="81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Pr>
                <w:rFonts w:ascii="Arial Narrow" w:eastAsia="Times New Roman" w:hAnsi="Arial Narrow" w:cs="Times New Roman"/>
                <w:sz w:val="20"/>
                <w:lang w:eastAsia="es-MX"/>
              </w:rPr>
              <w:t>Subtotal</w:t>
            </w:r>
          </w:p>
        </w:tc>
        <w:tc>
          <w:tcPr>
            <w:tcW w:w="496"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7.542</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15.937</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25.245</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29.859</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45.485</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48.935</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51.274</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53.330</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55.953</w:t>
            </w:r>
          </w:p>
        </w:tc>
      </w:tr>
      <w:tr w:rsidR="00032A3A" w:rsidRPr="000C1C15" w:rsidTr="00873820">
        <w:trPr>
          <w:trHeight w:val="300"/>
        </w:trPr>
        <w:tc>
          <w:tcPr>
            <w:tcW w:w="84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Libres Oriental</w:t>
            </w:r>
          </w:p>
        </w:tc>
        <w:tc>
          <w:tcPr>
            <w:tcW w:w="496"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0.268</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0.644</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1.102</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1.339</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2.182</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2.556</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2.879</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3.242</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3.952</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Huamantla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0.187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0.451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0.772</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0.938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1.528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1.790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2.016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2.271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2.768</w:t>
            </w:r>
          </w:p>
        </w:tc>
      </w:tr>
      <w:tr w:rsidR="00032A3A" w:rsidRPr="000C1C15" w:rsidTr="00873820">
        <w:trPr>
          <w:trHeight w:val="300"/>
        </w:trPr>
        <w:tc>
          <w:tcPr>
            <w:tcW w:w="84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Perote Zalayeta</w:t>
            </w:r>
          </w:p>
        </w:tc>
        <w:tc>
          <w:tcPr>
            <w:tcW w:w="496"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0.061</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0.146</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0.250</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0.304</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0.495</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0.580</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0.654</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0.736</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0.897</w:t>
            </w:r>
          </w:p>
        </w:tc>
      </w:tr>
      <w:tr w:rsidR="00032A3A" w:rsidRPr="000C1C15" w:rsidTr="00873820">
        <w:trPr>
          <w:trHeight w:val="300"/>
        </w:trPr>
        <w:tc>
          <w:tcPr>
            <w:tcW w:w="84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Aprovechamiento industrial</w:t>
            </w:r>
          </w:p>
        </w:tc>
        <w:tc>
          <w:tcPr>
            <w:tcW w:w="81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Pr>
                <w:rFonts w:ascii="Arial Narrow" w:eastAsia="Times New Roman" w:hAnsi="Arial Narrow" w:cs="Times New Roman"/>
                <w:sz w:val="20"/>
                <w:lang w:eastAsia="es-MX"/>
              </w:rPr>
              <w:t>Subtotal</w:t>
            </w:r>
          </w:p>
        </w:tc>
        <w:tc>
          <w:tcPr>
            <w:tcW w:w="496"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0.516</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1.242</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2.124</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2.582</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4.205</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4.927</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5.549</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6.249</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7.617</w:t>
            </w:r>
          </w:p>
        </w:tc>
      </w:tr>
      <w:tr w:rsidR="00032A3A" w:rsidRPr="000C1C15" w:rsidTr="00873820">
        <w:trPr>
          <w:trHeight w:val="300"/>
        </w:trPr>
        <w:tc>
          <w:tcPr>
            <w:tcW w:w="84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Libres Oriental</w:t>
            </w:r>
          </w:p>
        </w:tc>
        <w:tc>
          <w:tcPr>
            <w:tcW w:w="496"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0.052</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0.125</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0.213</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0.259</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0.423</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0.488</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0.549</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0.618</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0.754</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Huamantla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0.040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0.096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0.163</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0.199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0.323</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0.379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0.427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0.481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0.586</w:t>
            </w:r>
          </w:p>
        </w:tc>
      </w:tr>
      <w:tr w:rsidR="00032A3A" w:rsidRPr="000C1C15" w:rsidTr="00873820">
        <w:trPr>
          <w:trHeight w:val="300"/>
        </w:trPr>
        <w:tc>
          <w:tcPr>
            <w:tcW w:w="84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Perote Zalayeta</w:t>
            </w:r>
          </w:p>
        </w:tc>
        <w:tc>
          <w:tcPr>
            <w:tcW w:w="496"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0.080</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0.192</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0.329</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0.400</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0.652</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0.763</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0.860</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0.968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1.180</w:t>
            </w:r>
          </w:p>
        </w:tc>
      </w:tr>
      <w:tr w:rsidR="00032A3A" w:rsidRPr="000C1C15" w:rsidTr="00873820">
        <w:trPr>
          <w:trHeight w:val="300"/>
        </w:trPr>
        <w:tc>
          <w:tcPr>
            <w:tcW w:w="84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Aprovechamiento pecuario</w:t>
            </w:r>
          </w:p>
        </w:tc>
        <w:tc>
          <w:tcPr>
            <w:tcW w:w="81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Pr>
                <w:rFonts w:ascii="Arial Narrow" w:eastAsia="Times New Roman" w:hAnsi="Arial Narrow" w:cs="Times New Roman"/>
                <w:sz w:val="20"/>
                <w:lang w:eastAsia="es-MX"/>
              </w:rPr>
              <w:t>Subtotal</w:t>
            </w:r>
          </w:p>
        </w:tc>
        <w:tc>
          <w:tcPr>
            <w:tcW w:w="496"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0.171</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0.413</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0.706</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0.858</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1.398</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1.630</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1.836</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2.067</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2.520</w:t>
            </w:r>
          </w:p>
        </w:tc>
      </w:tr>
      <w:tr w:rsidR="00032A3A" w:rsidRPr="000C1C15" w:rsidTr="00873820">
        <w:trPr>
          <w:trHeight w:val="300"/>
        </w:trPr>
        <w:tc>
          <w:tcPr>
            <w:tcW w:w="84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Libres Oriental</w:t>
            </w:r>
          </w:p>
        </w:tc>
        <w:tc>
          <w:tcPr>
            <w:tcW w:w="496"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0.0001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0.0002</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0.0003</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0.0004</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0.0006</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0.001</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Huamantla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0.0048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0.0116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0.0199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0.0242</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0.0394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0.045</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0.051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0.057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0.070</w:t>
            </w:r>
          </w:p>
        </w:tc>
      </w:tr>
      <w:tr w:rsidR="00032A3A" w:rsidRPr="000C1C15" w:rsidTr="00873820">
        <w:trPr>
          <w:trHeight w:val="300"/>
        </w:trPr>
        <w:tc>
          <w:tcPr>
            <w:tcW w:w="84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Perote Zalayeta</w:t>
            </w:r>
          </w:p>
        </w:tc>
        <w:tc>
          <w:tcPr>
            <w:tcW w:w="496"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0.0095</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0.0228</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0.0391</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0.0475</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0.0774</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0.089</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0.100</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0.113</w:t>
            </w:r>
          </w:p>
        </w:tc>
        <w:tc>
          <w:tcPr>
            <w:tcW w:w="357" w:type="pct"/>
            <w:tcBorders>
              <w:bottom w:val="nil"/>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0.137</w:t>
            </w:r>
          </w:p>
        </w:tc>
      </w:tr>
      <w:tr w:rsidR="00032A3A" w:rsidRPr="000C1C15" w:rsidTr="00873820">
        <w:trPr>
          <w:trHeight w:val="300"/>
        </w:trPr>
        <w:tc>
          <w:tcPr>
            <w:tcW w:w="84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lastRenderedPageBreak/>
              <w:t>Aprovechamiento otros usos</w:t>
            </w:r>
          </w:p>
        </w:tc>
        <w:tc>
          <w:tcPr>
            <w:tcW w:w="810"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Pr>
                <w:rFonts w:ascii="Arial Narrow" w:eastAsia="Times New Roman" w:hAnsi="Arial Narrow" w:cs="Times New Roman"/>
                <w:sz w:val="20"/>
                <w:lang w:eastAsia="es-MX"/>
              </w:rPr>
              <w:t>Subtotal</w:t>
            </w:r>
          </w:p>
        </w:tc>
        <w:tc>
          <w:tcPr>
            <w:tcW w:w="496"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0.0144</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0.0347</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0.0593</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0.0721</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0.1174</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0.135</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0.152</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0.171</w:t>
            </w:r>
          </w:p>
        </w:tc>
        <w:tc>
          <w:tcPr>
            <w:tcW w:w="357" w:type="pct"/>
            <w:tcBorders>
              <w:top w:val="nil"/>
              <w:bottom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0.208</w:t>
            </w:r>
          </w:p>
        </w:tc>
      </w:tr>
      <w:tr w:rsidR="00032A3A" w:rsidRPr="000C1C15" w:rsidTr="00873820">
        <w:trPr>
          <w:trHeight w:val="300"/>
        </w:trPr>
        <w:tc>
          <w:tcPr>
            <w:tcW w:w="84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Libres Oriental</w:t>
            </w:r>
          </w:p>
        </w:tc>
        <w:tc>
          <w:tcPr>
            <w:tcW w:w="496"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67</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136</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209</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220</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221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213</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207</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201</w:t>
            </w:r>
          </w:p>
        </w:tc>
        <w:tc>
          <w:tcPr>
            <w:tcW w:w="357" w:type="pct"/>
            <w:tcBorders>
              <w:top w:val="single" w:sz="4" w:space="0" w:color="D9D9D9" w:themeColor="background1" w:themeShade="D9"/>
            </w:tcBorders>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191</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Huamantla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60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94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99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101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94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90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86</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80</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Perote Zalayeta</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9</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13</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13</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14</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14</w:t>
            </w:r>
          </w:p>
        </w:tc>
      </w:tr>
      <w:tr w:rsidR="00032A3A" w:rsidRPr="000C1C15" w:rsidTr="00873820">
        <w:trPr>
          <w:trHeight w:val="300"/>
        </w:trPr>
        <w:tc>
          <w:tcPr>
            <w:tcW w:w="84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sidRPr="000C1C15">
              <w:rPr>
                <w:rFonts w:ascii="Arial Narrow" w:eastAsia="Times New Roman" w:hAnsi="Arial Narrow" w:cs="Times New Roman"/>
                <w:sz w:val="20"/>
                <w:lang w:eastAsia="es-MX"/>
              </w:rPr>
              <w:t>Aprovechamiento total</w:t>
            </w:r>
          </w:p>
        </w:tc>
        <w:tc>
          <w:tcPr>
            <w:tcW w:w="810"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20"/>
                <w:lang w:eastAsia="es-MX"/>
              </w:rPr>
            </w:pPr>
            <w:r>
              <w:rPr>
                <w:rFonts w:ascii="Arial Narrow" w:eastAsia="Times New Roman" w:hAnsi="Arial Narrow" w:cs="Times New Roman"/>
                <w:sz w:val="20"/>
                <w:lang w:eastAsia="es-MX"/>
              </w:rPr>
              <w:t>GRAN TOTAL</w:t>
            </w:r>
          </w:p>
        </w:tc>
        <w:tc>
          <w:tcPr>
            <w:tcW w:w="496"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97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197</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311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328</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335</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320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310</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301</w:t>
            </w:r>
          </w:p>
        </w:tc>
        <w:tc>
          <w:tcPr>
            <w:tcW w:w="357" w:type="pct"/>
            <w:noWrap/>
            <w:vAlign w:val="center"/>
            <w:hideMark/>
          </w:tcPr>
          <w:p w:rsidR="00032A3A" w:rsidRPr="000C1C15" w:rsidRDefault="00032A3A" w:rsidP="00873820">
            <w:pPr>
              <w:spacing w:before="0" w:after="0" w:line="240" w:lineRule="auto"/>
              <w:ind w:firstLine="0"/>
              <w:jc w:val="center"/>
              <w:rPr>
                <w:rFonts w:ascii="Arial Narrow" w:eastAsia="Times New Roman" w:hAnsi="Arial Narrow" w:cs="Times New Roman"/>
                <w:sz w:val="18"/>
                <w:lang w:eastAsia="es-MX"/>
              </w:rPr>
            </w:pPr>
            <w:r w:rsidRPr="000C1C15">
              <w:rPr>
                <w:rFonts w:ascii="Arial Narrow" w:eastAsia="Times New Roman" w:hAnsi="Arial Narrow" w:cs="Times New Roman"/>
                <w:sz w:val="18"/>
                <w:lang w:eastAsia="es-MX"/>
              </w:rPr>
              <w:t>286</w:t>
            </w:r>
          </w:p>
        </w:tc>
      </w:tr>
    </w:tbl>
    <w:p w:rsidR="00C0170B" w:rsidRDefault="00C0170B" w:rsidP="0084005E"/>
    <w:p w:rsidR="0084005E" w:rsidRPr="00582F69" w:rsidRDefault="00B0496B" w:rsidP="008011C2">
      <w:pPr>
        <w:outlineLvl w:val="0"/>
        <w:rPr>
          <w:b/>
        </w:rPr>
      </w:pPr>
      <w:r w:rsidRPr="00582F69">
        <w:rPr>
          <w:b/>
        </w:rPr>
        <w:t>USO AGRÍCOLA</w:t>
      </w:r>
    </w:p>
    <w:p w:rsidR="002512BF" w:rsidRDefault="002512BF" w:rsidP="002512BF">
      <w:r>
        <w:t xml:space="preserve">Particularmente el uso agrícola se erige como el principal usuario del agua en los tres acuíferos; las condiciones de medición de las captaciones han sido mínimas desde los inicios hasta la fecha, no obstante, se identifican dos períodos clave, característicos del comportamiento de la demanda: </w:t>
      </w:r>
    </w:p>
    <w:p w:rsidR="002512BF" w:rsidRDefault="002512BF" w:rsidP="00BD0A86">
      <w:pPr>
        <w:pStyle w:val="Prrafodelista"/>
        <w:numPr>
          <w:ilvl w:val="0"/>
          <w:numId w:val="88"/>
        </w:numPr>
        <w:contextualSpacing/>
      </w:pPr>
      <w:r>
        <w:t xml:space="preserve">El primero, corresponde al período de consolidación de las áreas de riego dentro del de los Valles.  Si bien, se desconoce con precisión la fecha de perforación </w:t>
      </w:r>
      <w:proofErr w:type="gramStart"/>
      <w:r>
        <w:t>de la</w:t>
      </w:r>
      <w:proofErr w:type="gramEnd"/>
      <w:r>
        <w:t xml:space="preserve"> primer </w:t>
      </w:r>
      <w:r w:rsidR="00D447A1">
        <w:t xml:space="preserve">a </w:t>
      </w:r>
      <w:r>
        <w:t xml:space="preserve">captación, en el año de 1968 ocurría un aprovechamiento total próximo a los </w:t>
      </w:r>
      <w:r w:rsidR="00A8167F">
        <w:t>175 hm</w:t>
      </w:r>
      <w:r w:rsidR="00A8167F">
        <w:rPr>
          <w:vertAlign w:val="superscript"/>
        </w:rPr>
        <w:t>3</w:t>
      </w:r>
      <w:r>
        <w:t xml:space="preserve"> concentrados en los </w:t>
      </w:r>
      <w:r w:rsidR="00A8167F">
        <w:t>acuíferos de Huamantla y Libres–</w:t>
      </w:r>
      <w:r>
        <w:t xml:space="preserve">Oriental.  Dicho aprovechamiento ocurría en condiciones por lo general someras, que permitieron la proliferación de aprovechamientos hasta superar una cifra de volumen extraído de </w:t>
      </w:r>
      <w:r w:rsidR="00BE735A">
        <w:t>294</w:t>
      </w:r>
      <w:r>
        <w:t xml:space="preserve"> </w:t>
      </w:r>
      <w:r w:rsidR="00B77071">
        <w:t>Mm</w:t>
      </w:r>
      <w:r w:rsidR="00B77071">
        <w:rPr>
          <w:vertAlign w:val="superscript"/>
        </w:rPr>
        <w:t>3</w:t>
      </w:r>
      <w:r>
        <w:t>, en la década de los noventas.</w:t>
      </w:r>
      <w:r w:rsidR="00BE735A">
        <w:rPr>
          <w:rStyle w:val="Refdenotaalpie"/>
        </w:rPr>
        <w:footnoteReference w:id="3"/>
      </w:r>
      <w:r>
        <w:t xml:space="preserve">  </w:t>
      </w:r>
    </w:p>
    <w:p w:rsidR="002512BF" w:rsidRDefault="002512BF" w:rsidP="00BD0A86">
      <w:pPr>
        <w:pStyle w:val="Prrafodelista"/>
        <w:numPr>
          <w:ilvl w:val="0"/>
          <w:numId w:val="88"/>
        </w:numPr>
        <w:contextualSpacing/>
      </w:pPr>
      <w:r>
        <w:t>El segundo, corresponde a un período en el cual se conjugan tres factores que desaceleran el  incremento del aprovechamiento:</w:t>
      </w:r>
    </w:p>
    <w:p w:rsidR="002512BF" w:rsidRDefault="002512BF" w:rsidP="00BE735A">
      <w:pPr>
        <w:pStyle w:val="Prrafodelista"/>
        <w:numPr>
          <w:ilvl w:val="1"/>
          <w:numId w:val="88"/>
        </w:numPr>
        <w:ind w:left="1776"/>
        <w:contextualSpacing/>
      </w:pPr>
      <w:r>
        <w:t xml:space="preserve">El abatimiento del acuífero, </w:t>
      </w:r>
      <w:r w:rsidR="00BE735A">
        <w:t xml:space="preserve">en Huamantla alcanza profundidades próximas a los 100 metros; </w:t>
      </w:r>
      <w:r w:rsidR="00A8167F">
        <w:t>en Libres–</w:t>
      </w:r>
      <w:r>
        <w:t xml:space="preserve">Oriental, </w:t>
      </w:r>
      <w:r w:rsidR="00BE735A">
        <w:t xml:space="preserve">el nivel </w:t>
      </w:r>
      <w:r>
        <w:t>deja de ser del todo somero, lo que afectó a gran parte de sus captaciones, que en su mayoría aprovechaban aguas con profundidades de obra  menores de veinte metros.</w:t>
      </w:r>
    </w:p>
    <w:p w:rsidR="002512BF" w:rsidRDefault="002512BF" w:rsidP="00BD0A86">
      <w:pPr>
        <w:pStyle w:val="Prrafodelista"/>
        <w:numPr>
          <w:ilvl w:val="1"/>
          <w:numId w:val="88"/>
        </w:numPr>
        <w:contextualSpacing/>
      </w:pPr>
      <w:r>
        <w:t xml:space="preserve">El patrón productivo regional, el incremento de las tarifas eléctricas y las condiciones del mercado,  trajeron como consecuencia una estabilización del crecimiento de la superficie de riego, que en casos como la zona de Huamantla, </w:t>
      </w:r>
      <w:r w:rsidR="00BE735A">
        <w:t>causaron</w:t>
      </w:r>
      <w:r>
        <w:t xml:space="preserve"> una reducción de la superficie regada.</w:t>
      </w:r>
    </w:p>
    <w:p w:rsidR="002512BF" w:rsidRDefault="002512BF" w:rsidP="00BD0A86">
      <w:pPr>
        <w:pStyle w:val="Prrafodelista"/>
        <w:numPr>
          <w:ilvl w:val="1"/>
          <w:numId w:val="88"/>
        </w:numPr>
        <w:contextualSpacing/>
      </w:pPr>
      <w:r>
        <w:lastRenderedPageBreak/>
        <w:t>Por último, la implementación de los programas de uso eficiente del agua y la energía y la necesidad de establecer cultivos más productivos</w:t>
      </w:r>
    </w:p>
    <w:p w:rsidR="002512BF" w:rsidRPr="00717C61" w:rsidRDefault="002512BF" w:rsidP="00D447A1">
      <w:pPr>
        <w:ind w:left="993" w:firstLine="0"/>
      </w:pPr>
      <w:r>
        <w:t>Estos tres factores frenaron el crecimiento de las extracciones de agua subterránea por parte del sector agrícola</w:t>
      </w:r>
      <w:r w:rsidR="00D447A1">
        <w:t>,</w:t>
      </w:r>
      <w:r>
        <w:t xml:space="preserve"> y de hecho, auguran, bajo la actual tendencia, una progresiva reducción de l</w:t>
      </w:r>
      <w:r w:rsidR="00BE735A">
        <w:t>a</w:t>
      </w:r>
      <w:r>
        <w:t>s mism</w:t>
      </w:r>
      <w:r w:rsidR="00BE735A">
        <w:t>a</w:t>
      </w:r>
      <w:r>
        <w:t>s, que preferentemente debe</w:t>
      </w:r>
      <w:r w:rsidR="00BE735A">
        <w:t>n</w:t>
      </w:r>
      <w:r>
        <w:t xml:space="preserve"> ocurrir bajo un programa estratégico que mejore la productividad del agua y las finanzas del sector agrícola.</w:t>
      </w:r>
    </w:p>
    <w:p w:rsidR="002512BF" w:rsidRDefault="00904C37" w:rsidP="002512BF">
      <w:pPr>
        <w:pStyle w:val="Tabla1cap6"/>
      </w:pPr>
      <w:r>
        <w:t>Uso agrícola. REPDA</w:t>
      </w:r>
    </w:p>
    <w:tbl>
      <w:tblPr>
        <w:tblStyle w:val="Tablabsica1"/>
        <w:tblW w:w="0" w:type="auto"/>
        <w:tblInd w:w="1384" w:type="dxa"/>
        <w:tblLook w:val="04A0"/>
      </w:tblPr>
      <w:tblGrid>
        <w:gridCol w:w="1892"/>
        <w:gridCol w:w="1935"/>
        <w:gridCol w:w="2127"/>
      </w:tblGrid>
      <w:tr w:rsidR="00637641" w:rsidRPr="005C05C9" w:rsidTr="00637641">
        <w:trPr>
          <w:cnfStyle w:val="100000000000"/>
        </w:trPr>
        <w:tc>
          <w:tcPr>
            <w:tcW w:w="1892" w:type="dxa"/>
          </w:tcPr>
          <w:p w:rsidR="00637641" w:rsidRPr="005C05C9" w:rsidRDefault="00637641" w:rsidP="00873820">
            <w:pPr>
              <w:spacing w:before="0" w:after="0" w:line="240" w:lineRule="auto"/>
              <w:ind w:firstLine="0"/>
            </w:pPr>
            <w:r>
              <w:t>A</w:t>
            </w:r>
            <w:r w:rsidRPr="005C05C9">
              <w:t>cuífero</w:t>
            </w:r>
          </w:p>
        </w:tc>
        <w:tc>
          <w:tcPr>
            <w:tcW w:w="1935" w:type="dxa"/>
          </w:tcPr>
          <w:p w:rsidR="00637641" w:rsidRPr="005C05C9" w:rsidRDefault="00637641" w:rsidP="00873820">
            <w:pPr>
              <w:spacing w:before="0" w:after="0" w:line="240" w:lineRule="auto"/>
              <w:ind w:firstLine="0"/>
              <w:jc w:val="center"/>
            </w:pPr>
            <w:r>
              <w:t>V</w:t>
            </w:r>
            <w:r w:rsidRPr="005C05C9">
              <w:t>olumen</w:t>
            </w:r>
          </w:p>
        </w:tc>
        <w:tc>
          <w:tcPr>
            <w:tcW w:w="2127" w:type="dxa"/>
          </w:tcPr>
          <w:p w:rsidR="00637641" w:rsidRPr="005C05C9" w:rsidRDefault="00637641" w:rsidP="00873820">
            <w:pPr>
              <w:spacing w:before="0" w:after="0" w:line="240" w:lineRule="auto"/>
              <w:ind w:firstLine="0"/>
              <w:jc w:val="center"/>
            </w:pPr>
            <w:r>
              <w:t>A</w:t>
            </w:r>
            <w:r w:rsidRPr="005C05C9">
              <w:t>provechamiento</w:t>
            </w:r>
          </w:p>
        </w:tc>
      </w:tr>
      <w:tr w:rsidR="00637641" w:rsidRPr="005C05C9" w:rsidTr="00637641">
        <w:tc>
          <w:tcPr>
            <w:tcW w:w="1892" w:type="dxa"/>
          </w:tcPr>
          <w:p w:rsidR="00637641" w:rsidRPr="005C05C9" w:rsidRDefault="00637641" w:rsidP="00873820">
            <w:pPr>
              <w:spacing w:before="0" w:after="0" w:line="240" w:lineRule="auto"/>
              <w:ind w:firstLine="0"/>
            </w:pPr>
            <w:r>
              <w:t>H</w:t>
            </w:r>
            <w:r w:rsidRPr="005C05C9">
              <w:t>uamantla</w:t>
            </w:r>
          </w:p>
        </w:tc>
        <w:tc>
          <w:tcPr>
            <w:tcW w:w="1935" w:type="dxa"/>
          </w:tcPr>
          <w:p w:rsidR="00637641" w:rsidRPr="005C05C9" w:rsidRDefault="00637641" w:rsidP="00637641">
            <w:pPr>
              <w:spacing w:before="0" w:after="0" w:line="240" w:lineRule="auto"/>
              <w:ind w:firstLine="0"/>
              <w:jc w:val="right"/>
            </w:pPr>
            <w:r w:rsidRPr="005C05C9">
              <w:t>41,135,509.2</w:t>
            </w:r>
          </w:p>
        </w:tc>
        <w:tc>
          <w:tcPr>
            <w:tcW w:w="2127" w:type="dxa"/>
          </w:tcPr>
          <w:p w:rsidR="00637641" w:rsidRPr="005C05C9" w:rsidRDefault="00637641" w:rsidP="00637641">
            <w:pPr>
              <w:spacing w:before="0" w:after="0" w:line="240" w:lineRule="auto"/>
              <w:ind w:firstLine="0"/>
              <w:jc w:val="right"/>
            </w:pPr>
            <w:r w:rsidRPr="005C05C9">
              <w:t>185</w:t>
            </w:r>
          </w:p>
        </w:tc>
      </w:tr>
      <w:tr w:rsidR="00637641" w:rsidRPr="005C05C9" w:rsidTr="00637641">
        <w:tc>
          <w:tcPr>
            <w:tcW w:w="1892" w:type="dxa"/>
          </w:tcPr>
          <w:p w:rsidR="00637641" w:rsidRPr="005C05C9" w:rsidRDefault="00637641" w:rsidP="00873820">
            <w:pPr>
              <w:spacing w:before="0" w:after="0" w:line="240" w:lineRule="auto"/>
              <w:ind w:firstLine="0"/>
            </w:pPr>
            <w:r>
              <w:t>Libres - O</w:t>
            </w:r>
            <w:r w:rsidRPr="005C05C9">
              <w:t>riental</w:t>
            </w:r>
          </w:p>
        </w:tc>
        <w:tc>
          <w:tcPr>
            <w:tcW w:w="1935" w:type="dxa"/>
            <w:tcBorders>
              <w:bottom w:val="nil"/>
            </w:tcBorders>
          </w:tcPr>
          <w:p w:rsidR="00637641" w:rsidRPr="005C05C9" w:rsidRDefault="00637641" w:rsidP="00637641">
            <w:pPr>
              <w:spacing w:before="0" w:after="0" w:line="240" w:lineRule="auto"/>
              <w:ind w:firstLine="0"/>
              <w:jc w:val="right"/>
            </w:pPr>
            <w:r w:rsidRPr="005C05C9">
              <w:t>148,238,395.1</w:t>
            </w:r>
          </w:p>
        </w:tc>
        <w:tc>
          <w:tcPr>
            <w:tcW w:w="2127" w:type="dxa"/>
            <w:tcBorders>
              <w:bottom w:val="nil"/>
            </w:tcBorders>
          </w:tcPr>
          <w:p w:rsidR="00637641" w:rsidRPr="005C05C9" w:rsidRDefault="00637641" w:rsidP="00637641">
            <w:pPr>
              <w:spacing w:before="0" w:after="0" w:line="240" w:lineRule="auto"/>
              <w:ind w:firstLine="0"/>
              <w:jc w:val="right"/>
            </w:pPr>
            <w:r w:rsidRPr="005C05C9">
              <w:t>860</w:t>
            </w:r>
          </w:p>
        </w:tc>
      </w:tr>
      <w:tr w:rsidR="00637641" w:rsidRPr="005C05C9" w:rsidTr="00637641">
        <w:tc>
          <w:tcPr>
            <w:tcW w:w="1892" w:type="dxa"/>
          </w:tcPr>
          <w:p w:rsidR="00637641" w:rsidRPr="005C05C9" w:rsidRDefault="00637641" w:rsidP="00873820">
            <w:pPr>
              <w:spacing w:before="0" w:after="0" w:line="240" w:lineRule="auto"/>
              <w:ind w:firstLine="0"/>
            </w:pPr>
            <w:r>
              <w:t>P</w:t>
            </w:r>
            <w:r w:rsidRPr="005C05C9">
              <w:t>erote</w:t>
            </w:r>
          </w:p>
        </w:tc>
        <w:tc>
          <w:tcPr>
            <w:tcW w:w="1935" w:type="dxa"/>
            <w:tcBorders>
              <w:top w:val="nil"/>
              <w:bottom w:val="single" w:sz="4" w:space="0" w:color="auto"/>
            </w:tcBorders>
          </w:tcPr>
          <w:p w:rsidR="00637641" w:rsidRPr="005C05C9" w:rsidRDefault="00637641" w:rsidP="00637641">
            <w:pPr>
              <w:spacing w:before="0" w:after="0" w:line="240" w:lineRule="auto"/>
              <w:ind w:firstLine="0"/>
              <w:jc w:val="right"/>
            </w:pPr>
            <w:r w:rsidRPr="005C05C9">
              <w:t>20,034,710.2</w:t>
            </w:r>
          </w:p>
        </w:tc>
        <w:tc>
          <w:tcPr>
            <w:tcW w:w="2127" w:type="dxa"/>
            <w:tcBorders>
              <w:top w:val="nil"/>
              <w:bottom w:val="single" w:sz="4" w:space="0" w:color="auto"/>
            </w:tcBorders>
          </w:tcPr>
          <w:p w:rsidR="00637641" w:rsidRPr="005C05C9" w:rsidRDefault="00637641" w:rsidP="00637641">
            <w:pPr>
              <w:spacing w:before="0" w:after="0" w:line="240" w:lineRule="auto"/>
              <w:ind w:firstLine="0"/>
              <w:jc w:val="right"/>
            </w:pPr>
            <w:r w:rsidRPr="005C05C9">
              <w:t>83</w:t>
            </w:r>
          </w:p>
        </w:tc>
      </w:tr>
      <w:tr w:rsidR="00637641" w:rsidRPr="005C05C9" w:rsidTr="00637641">
        <w:tc>
          <w:tcPr>
            <w:tcW w:w="1892" w:type="dxa"/>
          </w:tcPr>
          <w:p w:rsidR="00637641" w:rsidRPr="005C05C9" w:rsidRDefault="00637641" w:rsidP="00637641">
            <w:pPr>
              <w:spacing w:before="0" w:after="0" w:line="240" w:lineRule="auto"/>
              <w:ind w:firstLine="0"/>
              <w:jc w:val="right"/>
            </w:pPr>
            <w:r>
              <w:t>T</w:t>
            </w:r>
            <w:r w:rsidRPr="005C05C9">
              <w:t>otal</w:t>
            </w:r>
          </w:p>
        </w:tc>
        <w:tc>
          <w:tcPr>
            <w:tcW w:w="1935" w:type="dxa"/>
            <w:tcBorders>
              <w:top w:val="single" w:sz="4" w:space="0" w:color="auto"/>
            </w:tcBorders>
          </w:tcPr>
          <w:p w:rsidR="00637641" w:rsidRPr="005C05C9" w:rsidRDefault="00637641" w:rsidP="00637641">
            <w:pPr>
              <w:spacing w:before="0" w:after="0" w:line="240" w:lineRule="auto"/>
              <w:ind w:firstLine="0"/>
              <w:jc w:val="right"/>
            </w:pPr>
            <w:r w:rsidRPr="005C05C9">
              <w:t>209,408,614.5</w:t>
            </w:r>
          </w:p>
        </w:tc>
        <w:tc>
          <w:tcPr>
            <w:tcW w:w="2127" w:type="dxa"/>
            <w:tcBorders>
              <w:top w:val="single" w:sz="4" w:space="0" w:color="auto"/>
            </w:tcBorders>
          </w:tcPr>
          <w:p w:rsidR="00637641" w:rsidRPr="005C05C9" w:rsidRDefault="00637641" w:rsidP="00637641">
            <w:pPr>
              <w:spacing w:before="0" w:after="0" w:line="240" w:lineRule="auto"/>
              <w:ind w:firstLine="0"/>
              <w:jc w:val="right"/>
            </w:pPr>
            <w:r w:rsidRPr="005C05C9">
              <w:t>1,128</w:t>
            </w:r>
          </w:p>
        </w:tc>
      </w:tr>
    </w:tbl>
    <w:p w:rsidR="002512BF" w:rsidRDefault="002512BF" w:rsidP="000E6FBD"/>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85"/>
        <w:gridCol w:w="5819"/>
      </w:tblGrid>
      <w:tr w:rsidR="00637641" w:rsidTr="00873820">
        <w:tc>
          <w:tcPr>
            <w:tcW w:w="4085" w:type="dxa"/>
          </w:tcPr>
          <w:p w:rsidR="00637641" w:rsidRDefault="00637641" w:rsidP="00637641">
            <w:r>
              <w:t>La mayor extracción esta en el acuífero Libres-Oriental, en el cual se tiene concesionado el 70.8% del volumen, le siguen en importancia el acuífero de Huamantla y Perote con el 19.6% y 9.6%, respectivamente.</w:t>
            </w:r>
          </w:p>
          <w:p w:rsidR="00637641" w:rsidRDefault="00637641" w:rsidP="00582F69">
            <w:pPr>
              <w:ind w:firstLine="0"/>
            </w:pPr>
          </w:p>
        </w:tc>
        <w:tc>
          <w:tcPr>
            <w:tcW w:w="5819" w:type="dxa"/>
          </w:tcPr>
          <w:p w:rsidR="00637641" w:rsidRDefault="00637641" w:rsidP="00637641">
            <w:pPr>
              <w:pStyle w:val="figura1cap6"/>
              <w:ind w:left="0" w:firstLine="0"/>
            </w:pPr>
            <w:r>
              <w:t xml:space="preserve">Volumen concesionado, sector agrícola </w:t>
            </w:r>
          </w:p>
          <w:p w:rsidR="00637641" w:rsidRDefault="00637641" w:rsidP="00873820">
            <w:pPr>
              <w:jc w:val="left"/>
            </w:pPr>
            <w:r w:rsidRPr="00637641">
              <w:rPr>
                <w:noProof/>
                <w:lang w:eastAsia="es-MX"/>
              </w:rPr>
              <w:drawing>
                <wp:inline distT="0" distB="0" distL="0" distR="0">
                  <wp:extent cx="2915218" cy="1192920"/>
                  <wp:effectExtent l="1905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l="10348" r="7535" b="14306"/>
                          <a:stretch>
                            <a:fillRect/>
                          </a:stretch>
                        </pic:blipFill>
                        <pic:spPr bwMode="auto">
                          <a:xfrm>
                            <a:off x="0" y="0"/>
                            <a:ext cx="2915218" cy="1192920"/>
                          </a:xfrm>
                          <a:prstGeom prst="rect">
                            <a:avLst/>
                          </a:prstGeom>
                          <a:noFill/>
                          <a:ln w="9525">
                            <a:noFill/>
                            <a:miter lim="800000"/>
                            <a:headEnd/>
                            <a:tailEnd/>
                          </a:ln>
                        </pic:spPr>
                      </pic:pic>
                    </a:graphicData>
                  </a:graphic>
                </wp:inline>
              </w:drawing>
            </w:r>
          </w:p>
        </w:tc>
      </w:tr>
    </w:tbl>
    <w:p w:rsidR="00873820" w:rsidRDefault="00873820" w:rsidP="00873820">
      <w:r>
        <w:t>De la revisión de la superficie cosechada en los municipios inscritos dentro de los acuíferos de la zona de estudio, se confirma que ésta tiene una tendencia a la alza.  Dicha tendencia no es determinante al considerar que hubo años en que ésta se redujo y que en el año 2000 la superficie llegó a ser del mismo orden que en el año 2008.  Sin embargo, el clima de esta zona y la disponibilidad de agua, así como su cercanía a polos de desarrollo económico importantes como son las Ciudades de Puebla, Jalapa y propiamente la Ciudad de México, la vuelven muy atractiva para incrementar la actividad agrícola.  Es necesario que el crecimiento de ésta ocurra de manera ordenada, con una serie de reglas para evitar el desequilibrio, resultante de la sobreexplotación a nivel local o general. Igualmente debe preverse la protección contra contaminantes propios del sector agrícola, como son los pesticidas y los fertilizantes con químicos no biodegradables y potencialmente nocivos para la salud.</w:t>
      </w:r>
    </w:p>
    <w:p w:rsidR="00E54AF1" w:rsidRDefault="00E54AF1" w:rsidP="002F065B">
      <w:r>
        <w:t xml:space="preserve">En la </w:t>
      </w:r>
      <w:r w:rsidR="00BE2961">
        <w:fldChar w:fldCharType="begin"/>
      </w:r>
      <w:r w:rsidR="006F3653">
        <w:instrText xml:space="preserve"> REF _Ref263931016 \r \h </w:instrText>
      </w:r>
      <w:r w:rsidR="00BE2961">
        <w:fldChar w:fldCharType="separate"/>
      </w:r>
      <w:r w:rsidR="001C36B4">
        <w:t>Tabla 6.13</w:t>
      </w:r>
      <w:r w:rsidR="00BE2961">
        <w:fldChar w:fldCharType="end"/>
      </w:r>
      <w:r>
        <w:t xml:space="preserve"> y </w:t>
      </w:r>
      <w:r w:rsidR="00BE2961">
        <w:fldChar w:fldCharType="begin"/>
      </w:r>
      <w:r>
        <w:instrText xml:space="preserve"> REF _Ref263931027 \r \h </w:instrText>
      </w:r>
      <w:r w:rsidR="00BE2961">
        <w:fldChar w:fldCharType="separate"/>
      </w:r>
      <w:r w:rsidR="001C36B4">
        <w:t>Tabla 6.14</w:t>
      </w:r>
      <w:r w:rsidR="00BE2961">
        <w:fldChar w:fldCharType="end"/>
      </w:r>
      <w:r>
        <w:t xml:space="preserve"> se presentan las extracciones promedio mensuales en el plan de riego básico actual, y las extracciones promedio mensuales del plan de riego bajo un esquema de escenario de máxima tecnificación, el cual contempla un incremento de la superficie de riego del 40% para la zona de Perote. En términos de requerimiento de volúmenes de riego, para el caso del acuífero Libres-Oriental y Perote-Zalayeta </w:t>
      </w:r>
      <w:r w:rsidRPr="002E5DC0">
        <w:rPr>
          <w:noProof/>
          <w:lang w:eastAsia="es-MX"/>
        </w:rPr>
        <w:t xml:space="preserve">los requerimientos netos se  calcularon </w:t>
      </w:r>
      <w:r>
        <w:rPr>
          <w:noProof/>
          <w:lang w:eastAsia="es-MX"/>
        </w:rPr>
        <w:t>con base al</w:t>
      </w:r>
      <w:r w:rsidRPr="002E5DC0">
        <w:rPr>
          <w:noProof/>
          <w:lang w:eastAsia="es-MX"/>
        </w:rPr>
        <w:t xml:space="preserve"> programa </w:t>
      </w:r>
      <w:r w:rsidRPr="00E54AF1">
        <w:rPr>
          <w:i/>
          <w:noProof/>
          <w:lang w:eastAsia="es-MX"/>
        </w:rPr>
        <w:t>RASPAWIN</w:t>
      </w:r>
      <w:r w:rsidRPr="002E5DC0">
        <w:rPr>
          <w:noProof/>
          <w:lang w:eastAsia="es-MX"/>
        </w:rPr>
        <w:t xml:space="preserve"> con el método de  Blaney </w:t>
      </w:r>
      <w:r>
        <w:rPr>
          <w:noProof/>
          <w:lang w:eastAsia="es-MX"/>
        </w:rPr>
        <w:t>y Criddle modificado por Phelan, en lo que respecta al de Huamantla</w:t>
      </w:r>
      <w:r w:rsidRPr="002E5DC0">
        <w:rPr>
          <w:noProof/>
          <w:lang w:eastAsia="es-MX"/>
        </w:rPr>
        <w:t>, dada su similitud,  se utilizaran los resultados obtenidos para Puebla.</w:t>
      </w:r>
    </w:p>
    <w:p w:rsidR="00E54AF1" w:rsidRDefault="00E54AF1" w:rsidP="002F065B">
      <w:pPr>
        <w:sectPr w:rsidR="00E54AF1" w:rsidSect="009D5830">
          <w:headerReference w:type="default" r:id="rId80"/>
          <w:pgSz w:w="12240" w:h="15840" w:code="1"/>
          <w:pgMar w:top="1374" w:right="1134" w:bottom="1701" w:left="1418" w:header="709" w:footer="567" w:gutter="0"/>
          <w:pgNumType w:start="1"/>
          <w:cols w:space="708"/>
          <w:docGrid w:linePitch="360"/>
        </w:sectPr>
      </w:pPr>
    </w:p>
    <w:p w:rsidR="00352076" w:rsidRDefault="00352076" w:rsidP="00352076"/>
    <w:p w:rsidR="00582F69" w:rsidRDefault="005F10AC" w:rsidP="00352076">
      <w:pPr>
        <w:pStyle w:val="Tabla1cap6"/>
      </w:pPr>
      <w:bookmarkStart w:id="167" w:name="_Ref263931016"/>
      <w:r w:rsidRPr="005F10AC">
        <w:t>Extracciones mensuales promedio en el plan de riego básico actual del acuífero Huamantla-Libres Oriental-Perote</w:t>
      </w:r>
      <w:bookmarkEnd w:id="167"/>
    </w:p>
    <w:tbl>
      <w:tblPr>
        <w:tblW w:w="5000" w:type="pct"/>
        <w:tblCellMar>
          <w:left w:w="70" w:type="dxa"/>
          <w:right w:w="70" w:type="dxa"/>
        </w:tblCellMar>
        <w:tblLook w:val="04A0"/>
      </w:tblPr>
      <w:tblGrid>
        <w:gridCol w:w="802"/>
        <w:gridCol w:w="802"/>
        <w:gridCol w:w="803"/>
        <w:gridCol w:w="803"/>
        <w:gridCol w:w="803"/>
        <w:gridCol w:w="803"/>
        <w:gridCol w:w="803"/>
        <w:gridCol w:w="803"/>
        <w:gridCol w:w="803"/>
        <w:gridCol w:w="803"/>
        <w:gridCol w:w="803"/>
        <w:gridCol w:w="803"/>
        <w:gridCol w:w="803"/>
        <w:gridCol w:w="803"/>
        <w:gridCol w:w="803"/>
        <w:gridCol w:w="862"/>
      </w:tblGrid>
      <w:tr w:rsidR="005F10AC" w:rsidRPr="008256FC" w:rsidTr="00BD0A86">
        <w:trPr>
          <w:trHeight w:val="300"/>
        </w:trPr>
        <w:tc>
          <w:tcPr>
            <w:tcW w:w="311" w:type="pct"/>
            <w:tcBorders>
              <w:top w:val="single" w:sz="8" w:space="0" w:color="auto"/>
              <w:left w:val="single" w:sz="8" w:space="0" w:color="auto"/>
              <w:bottom w:val="nil"/>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Estado</w:t>
            </w:r>
          </w:p>
        </w:tc>
        <w:tc>
          <w:tcPr>
            <w:tcW w:w="311" w:type="pct"/>
            <w:tcBorders>
              <w:top w:val="single" w:sz="8" w:space="0" w:color="auto"/>
              <w:left w:val="nil"/>
              <w:bottom w:val="nil"/>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Pr>
                <w:rFonts w:eastAsia="Times New Roman" w:cs="Arial"/>
                <w:color w:val="000000"/>
                <w:sz w:val="14"/>
                <w:szCs w:val="14"/>
                <w:lang w:eastAsia="es-MX"/>
              </w:rPr>
              <w:t>T</w:t>
            </w:r>
            <w:r w:rsidRPr="008256FC">
              <w:rPr>
                <w:rFonts w:eastAsia="Times New Roman" w:cs="Arial"/>
                <w:color w:val="000000"/>
                <w:sz w:val="14"/>
                <w:szCs w:val="14"/>
                <w:lang w:eastAsia="es-MX"/>
              </w:rPr>
              <w:t>ipo de</w:t>
            </w:r>
          </w:p>
        </w:tc>
        <w:tc>
          <w:tcPr>
            <w:tcW w:w="311" w:type="pct"/>
            <w:tcBorders>
              <w:top w:val="single" w:sz="8" w:space="0" w:color="auto"/>
              <w:left w:val="nil"/>
              <w:bottom w:val="nil"/>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Superficie</w:t>
            </w:r>
          </w:p>
        </w:tc>
        <w:tc>
          <w:tcPr>
            <w:tcW w:w="311" w:type="pct"/>
            <w:tcBorders>
              <w:top w:val="single" w:sz="8" w:space="0" w:color="auto"/>
              <w:left w:val="nil"/>
              <w:bottom w:val="nil"/>
              <w:right w:val="single" w:sz="8" w:space="0" w:color="auto"/>
            </w:tcBorders>
            <w:shd w:val="clear" w:color="000000" w:fill="C6D9F1"/>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Oct</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Nov</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Dic</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Ene</w:t>
            </w:r>
          </w:p>
        </w:tc>
        <w:tc>
          <w:tcPr>
            <w:tcW w:w="311" w:type="pct"/>
            <w:tcBorders>
              <w:top w:val="single" w:sz="8" w:space="0" w:color="auto"/>
              <w:left w:val="nil"/>
              <w:bottom w:val="nil"/>
              <w:right w:val="single" w:sz="8" w:space="0" w:color="auto"/>
            </w:tcBorders>
            <w:shd w:val="clear" w:color="000000" w:fill="C6D9F1"/>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Feb</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Mar</w:t>
            </w:r>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Abr</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May</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Jun</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Jul</w:t>
            </w:r>
            <w:proofErr w:type="spellEnd"/>
          </w:p>
        </w:tc>
        <w:tc>
          <w:tcPr>
            <w:tcW w:w="311"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Ago</w:t>
            </w:r>
            <w:proofErr w:type="spellEnd"/>
          </w:p>
        </w:tc>
        <w:tc>
          <w:tcPr>
            <w:tcW w:w="311" w:type="pct"/>
            <w:tcBorders>
              <w:top w:val="single" w:sz="8" w:space="0" w:color="auto"/>
              <w:left w:val="nil"/>
              <w:bottom w:val="nil"/>
              <w:right w:val="single" w:sz="8" w:space="0" w:color="auto"/>
            </w:tcBorders>
            <w:shd w:val="clear" w:color="000000" w:fill="C6D9F1"/>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Sep</w:t>
            </w:r>
            <w:proofErr w:type="spellEnd"/>
          </w:p>
        </w:tc>
        <w:tc>
          <w:tcPr>
            <w:tcW w:w="334"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Anual</w:t>
            </w:r>
          </w:p>
        </w:tc>
      </w:tr>
      <w:tr w:rsidR="005F10AC" w:rsidRPr="008256FC" w:rsidTr="00BD0A86">
        <w:trPr>
          <w:trHeight w:val="315"/>
        </w:trPr>
        <w:tc>
          <w:tcPr>
            <w:tcW w:w="311" w:type="pct"/>
            <w:tcBorders>
              <w:top w:val="nil"/>
              <w:left w:val="single" w:sz="8" w:space="0" w:color="auto"/>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Cultivo</w:t>
            </w:r>
          </w:p>
        </w:tc>
        <w:tc>
          <w:tcPr>
            <w:tcW w:w="311"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(ha)</w:t>
            </w:r>
          </w:p>
        </w:tc>
        <w:tc>
          <w:tcPr>
            <w:tcW w:w="311"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1"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34"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r>
      <w:tr w:rsidR="005F10AC" w:rsidRPr="008256FC" w:rsidTr="00352076">
        <w:trPr>
          <w:trHeight w:val="149"/>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Puebla</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16,320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1,940.60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1,940.60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1,940.60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1,940.60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5,821.90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14,554.70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19,406.30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14,554.70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14,554.70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14,554.70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5,821.90</w:t>
            </w:r>
          </w:p>
        </w:tc>
        <w:tc>
          <w:tcPr>
            <w:tcW w:w="334"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97,031.60</w:t>
            </w:r>
          </w:p>
        </w:tc>
      </w:tr>
      <w:tr w:rsidR="005F10AC" w:rsidRPr="008256FC" w:rsidTr="00352076">
        <w:trPr>
          <w:trHeight w:val="126"/>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Peren</w:t>
            </w:r>
            <w:proofErr w:type="spellEnd"/>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4,080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9,147.90</w:t>
            </w:r>
          </w:p>
        </w:tc>
        <w:tc>
          <w:tcPr>
            <w:tcW w:w="334"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91,478.90</w:t>
            </w:r>
          </w:p>
        </w:tc>
      </w:tr>
      <w:tr w:rsidR="005F10AC" w:rsidRPr="008256FC" w:rsidTr="00352076">
        <w:trPr>
          <w:trHeight w:val="100"/>
        </w:trPr>
        <w:tc>
          <w:tcPr>
            <w:tcW w:w="311" w:type="pct"/>
            <w:tcBorders>
              <w:top w:val="nil"/>
              <w:left w:val="single" w:sz="8" w:space="0" w:color="auto"/>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20,400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9,147.90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11,088.50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11,088.50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1,940.60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1,940.60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14,969.80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23,702.60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28,554.20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23,702.60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23,702.60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23,702.60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14,969.80</w:t>
            </w:r>
          </w:p>
        </w:tc>
        <w:tc>
          <w:tcPr>
            <w:tcW w:w="334"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188,510.50</w:t>
            </w:r>
          </w:p>
        </w:tc>
      </w:tr>
      <w:tr w:rsidR="005F10AC" w:rsidRPr="008256FC" w:rsidTr="00352076">
        <w:trPr>
          <w:trHeight w:val="209"/>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Tlaxcala</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7,644</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984.7</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984.7</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984.7</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984.7</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2,954.10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7,385.30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9,847.00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7,385.30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7,385.30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7,385.30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2,954.10</w:t>
            </w:r>
          </w:p>
        </w:tc>
        <w:tc>
          <w:tcPr>
            <w:tcW w:w="334"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49,235.20</w:t>
            </w:r>
          </w:p>
        </w:tc>
      </w:tr>
      <w:tr w:rsidR="005F10AC" w:rsidRPr="008256FC" w:rsidTr="00352076">
        <w:trPr>
          <w:trHeight w:val="133"/>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Peren</w:t>
            </w:r>
            <w:proofErr w:type="spellEnd"/>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1,456</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3,536.60</w:t>
            </w:r>
          </w:p>
        </w:tc>
        <w:tc>
          <w:tcPr>
            <w:tcW w:w="334"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35,365.90</w:t>
            </w:r>
          </w:p>
        </w:tc>
      </w:tr>
      <w:tr w:rsidR="005F10AC" w:rsidRPr="008256FC" w:rsidTr="00352076">
        <w:trPr>
          <w:trHeight w:val="122"/>
        </w:trPr>
        <w:tc>
          <w:tcPr>
            <w:tcW w:w="311" w:type="pct"/>
            <w:tcBorders>
              <w:top w:val="nil"/>
              <w:left w:val="single" w:sz="8" w:space="0" w:color="auto"/>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9,100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3,536.60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4,521.30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4,521.30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984.7</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984.7</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6,490.70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10,921.90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13,383.60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10,921.90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10,921.90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10,921.90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6,490.70</w:t>
            </w:r>
          </w:p>
        </w:tc>
        <w:tc>
          <w:tcPr>
            <w:tcW w:w="334"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84,601.10</w:t>
            </w:r>
          </w:p>
        </w:tc>
      </w:tr>
      <w:tr w:rsidR="005F10AC" w:rsidRPr="008256FC" w:rsidTr="00352076">
        <w:trPr>
          <w:trHeight w:val="217"/>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Ver</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3,000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656.9</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1,642.30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2,189.70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2,189.70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1,970.70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1,642.30</w:t>
            </w: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656.9</w:t>
            </w:r>
          </w:p>
        </w:tc>
        <w:tc>
          <w:tcPr>
            <w:tcW w:w="334"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10,948.60</w:t>
            </w:r>
          </w:p>
        </w:tc>
      </w:tr>
      <w:tr w:rsidR="005F10AC" w:rsidRPr="008256FC" w:rsidTr="00352076">
        <w:trPr>
          <w:trHeight w:val="155"/>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Peren</w:t>
            </w:r>
            <w:proofErr w:type="spellEnd"/>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34" w:type="pct"/>
            <w:tcBorders>
              <w:top w:val="nil"/>
              <w:left w:val="nil"/>
              <w:bottom w:val="nil"/>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p>
        </w:tc>
      </w:tr>
      <w:tr w:rsidR="005F10AC" w:rsidRPr="008256FC" w:rsidTr="00352076">
        <w:trPr>
          <w:trHeight w:val="130"/>
        </w:trPr>
        <w:tc>
          <w:tcPr>
            <w:tcW w:w="311" w:type="pct"/>
            <w:tcBorders>
              <w:top w:val="nil"/>
              <w:left w:val="single" w:sz="8" w:space="0" w:color="auto"/>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3,000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656.9</w:t>
            </w: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1,642.30</w:t>
            </w: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2,189.70</w:t>
            </w: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2,189.70</w:t>
            </w: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1,970.70</w:t>
            </w: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1,642.30</w:t>
            </w:r>
          </w:p>
        </w:tc>
        <w:tc>
          <w:tcPr>
            <w:tcW w:w="311"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656.9</w:t>
            </w:r>
          </w:p>
        </w:tc>
        <w:tc>
          <w:tcPr>
            <w:tcW w:w="334" w:type="pct"/>
            <w:tcBorders>
              <w:top w:val="nil"/>
              <w:left w:val="nil"/>
              <w:bottom w:val="single" w:sz="8" w:space="0" w:color="auto"/>
              <w:right w:val="single" w:sz="8" w:space="0" w:color="auto"/>
            </w:tcBorders>
            <w:shd w:val="clear" w:color="auto" w:fill="auto"/>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10,948.60</w:t>
            </w:r>
          </w:p>
        </w:tc>
      </w:tr>
      <w:tr w:rsidR="005F10AC" w:rsidRPr="008256FC" w:rsidTr="00352076">
        <w:trPr>
          <w:trHeight w:val="157"/>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26,964</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2,925.30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2,925.30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2,925.30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2,925.30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9,432.90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23,582.30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31,443.10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24,129.70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23,910.80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23,582.30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9,432.90</w:t>
            </w:r>
          </w:p>
        </w:tc>
        <w:tc>
          <w:tcPr>
            <w:tcW w:w="334"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157,215.40</w:t>
            </w:r>
          </w:p>
        </w:tc>
      </w:tr>
      <w:tr w:rsidR="005F10AC" w:rsidRPr="008256FC" w:rsidTr="00352076">
        <w:trPr>
          <w:trHeight w:val="137"/>
        </w:trPr>
        <w:tc>
          <w:tcPr>
            <w:tcW w:w="311" w:type="pct"/>
            <w:tcBorders>
              <w:top w:val="nil"/>
              <w:left w:val="single" w:sz="8" w:space="0" w:color="auto"/>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Peren</w:t>
            </w:r>
            <w:proofErr w:type="spellEnd"/>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5,536</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11"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12,684.50</w:t>
            </w:r>
          </w:p>
        </w:tc>
        <w:tc>
          <w:tcPr>
            <w:tcW w:w="334" w:type="pct"/>
            <w:tcBorders>
              <w:top w:val="nil"/>
              <w:left w:val="nil"/>
              <w:bottom w:val="nil"/>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126,844.80</w:t>
            </w:r>
          </w:p>
        </w:tc>
      </w:tr>
      <w:tr w:rsidR="005F10AC" w:rsidRPr="008256FC" w:rsidTr="00352076">
        <w:trPr>
          <w:trHeight w:val="193"/>
        </w:trPr>
        <w:tc>
          <w:tcPr>
            <w:tcW w:w="311" w:type="pct"/>
            <w:tcBorders>
              <w:top w:val="nil"/>
              <w:left w:val="single" w:sz="8" w:space="0" w:color="auto"/>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32,500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12,684.50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15,609.80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15,609.80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2,925.30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2,925.30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22,117.40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36,266.80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44,127.60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36,814.20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36,595.20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36,266.80</w:t>
            </w:r>
          </w:p>
        </w:tc>
        <w:tc>
          <w:tcPr>
            <w:tcW w:w="311"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22,117.40</w:t>
            </w:r>
          </w:p>
        </w:tc>
        <w:tc>
          <w:tcPr>
            <w:tcW w:w="334" w:type="pct"/>
            <w:tcBorders>
              <w:top w:val="nil"/>
              <w:left w:val="nil"/>
              <w:bottom w:val="single" w:sz="8" w:space="0" w:color="auto"/>
              <w:right w:val="single" w:sz="8" w:space="0" w:color="auto"/>
            </w:tcBorders>
            <w:shd w:val="clear" w:color="auto" w:fill="auto"/>
            <w:noWrap/>
            <w:vAlign w:val="center"/>
            <w:hideMark/>
          </w:tcPr>
          <w:p w:rsidR="005F10AC" w:rsidRPr="008256FC" w:rsidRDefault="005F10AC" w:rsidP="00BD0A86">
            <w:pPr>
              <w:spacing w:before="0" w:after="0" w:line="240" w:lineRule="auto"/>
              <w:ind w:firstLine="0"/>
              <w:jc w:val="center"/>
              <w:rPr>
                <w:rFonts w:eastAsia="Times New Roman" w:cs="Arial"/>
                <w:b/>
                <w:bCs/>
                <w:color w:val="000000"/>
                <w:sz w:val="14"/>
                <w:szCs w:val="14"/>
                <w:lang w:eastAsia="es-MX"/>
              </w:rPr>
            </w:pPr>
            <w:r w:rsidRPr="008256FC">
              <w:rPr>
                <w:rFonts w:eastAsia="Times New Roman" w:cs="Arial"/>
                <w:b/>
                <w:bCs/>
                <w:color w:val="000000"/>
                <w:sz w:val="14"/>
                <w:szCs w:val="14"/>
                <w:lang w:eastAsia="es-MX"/>
              </w:rPr>
              <w:t>284,060.20</w:t>
            </w:r>
          </w:p>
        </w:tc>
      </w:tr>
    </w:tbl>
    <w:p w:rsidR="005F10AC" w:rsidRDefault="005F10AC" w:rsidP="002F065B"/>
    <w:p w:rsidR="00352076" w:rsidRDefault="00352076" w:rsidP="002F065B"/>
    <w:p w:rsidR="005F10AC" w:rsidRDefault="005F10AC" w:rsidP="00352076">
      <w:pPr>
        <w:pStyle w:val="Tabla1cap6"/>
      </w:pPr>
      <w:bookmarkStart w:id="168" w:name="_Ref263931027"/>
      <w:r w:rsidRPr="005F10AC">
        <w:t>Extracciones mensuales promedio en el plan de riego de máxima tecnificación con 40% adicional de superficie del acuífero Huamantla-Libres Oriental-Perote</w:t>
      </w:r>
      <w:bookmarkEnd w:id="168"/>
    </w:p>
    <w:tbl>
      <w:tblPr>
        <w:tblW w:w="5000" w:type="pct"/>
        <w:tblCellMar>
          <w:left w:w="70" w:type="dxa"/>
          <w:right w:w="70" w:type="dxa"/>
        </w:tblCellMar>
        <w:tblLook w:val="04A0"/>
      </w:tblPr>
      <w:tblGrid>
        <w:gridCol w:w="801"/>
        <w:gridCol w:w="801"/>
        <w:gridCol w:w="801"/>
        <w:gridCol w:w="832"/>
        <w:gridCol w:w="801"/>
        <w:gridCol w:w="801"/>
        <w:gridCol w:w="801"/>
        <w:gridCol w:w="801"/>
        <w:gridCol w:w="801"/>
        <w:gridCol w:w="801"/>
        <w:gridCol w:w="801"/>
        <w:gridCol w:w="801"/>
        <w:gridCol w:w="800"/>
        <w:gridCol w:w="800"/>
        <w:gridCol w:w="800"/>
        <w:gridCol w:w="862"/>
      </w:tblGrid>
      <w:tr w:rsidR="005F10AC" w:rsidRPr="008256FC" w:rsidTr="00BD0A86">
        <w:trPr>
          <w:trHeight w:val="300"/>
        </w:trPr>
        <w:tc>
          <w:tcPr>
            <w:tcW w:w="310" w:type="pct"/>
            <w:tcBorders>
              <w:top w:val="single" w:sz="8" w:space="0" w:color="auto"/>
              <w:left w:val="single" w:sz="8" w:space="0" w:color="auto"/>
              <w:bottom w:val="nil"/>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Estado</w:t>
            </w:r>
          </w:p>
        </w:tc>
        <w:tc>
          <w:tcPr>
            <w:tcW w:w="310" w:type="pct"/>
            <w:tcBorders>
              <w:top w:val="single" w:sz="8" w:space="0" w:color="auto"/>
              <w:left w:val="nil"/>
              <w:bottom w:val="nil"/>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Pr>
                <w:rFonts w:eastAsia="Times New Roman" w:cs="Arial"/>
                <w:color w:val="000000"/>
                <w:sz w:val="14"/>
                <w:szCs w:val="14"/>
                <w:lang w:eastAsia="es-MX"/>
              </w:rPr>
              <w:t>T</w:t>
            </w:r>
            <w:r w:rsidRPr="008256FC">
              <w:rPr>
                <w:rFonts w:eastAsia="Times New Roman" w:cs="Arial"/>
                <w:color w:val="000000"/>
                <w:sz w:val="14"/>
                <w:szCs w:val="14"/>
                <w:lang w:eastAsia="es-MX"/>
              </w:rPr>
              <w:t>ipo de</w:t>
            </w:r>
          </w:p>
        </w:tc>
        <w:tc>
          <w:tcPr>
            <w:tcW w:w="310" w:type="pct"/>
            <w:tcBorders>
              <w:top w:val="single" w:sz="8" w:space="0" w:color="auto"/>
              <w:left w:val="nil"/>
              <w:bottom w:val="nil"/>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Superficie</w:t>
            </w:r>
          </w:p>
        </w:tc>
        <w:tc>
          <w:tcPr>
            <w:tcW w:w="322" w:type="pct"/>
            <w:tcBorders>
              <w:top w:val="single" w:sz="8" w:space="0" w:color="auto"/>
              <w:left w:val="nil"/>
              <w:bottom w:val="nil"/>
              <w:right w:val="single" w:sz="8" w:space="0" w:color="auto"/>
            </w:tcBorders>
            <w:shd w:val="clear" w:color="000000" w:fill="C6D9F1"/>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Oct</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Nov</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Dic</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Ene</w:t>
            </w:r>
          </w:p>
        </w:tc>
        <w:tc>
          <w:tcPr>
            <w:tcW w:w="310" w:type="pct"/>
            <w:tcBorders>
              <w:top w:val="single" w:sz="8" w:space="0" w:color="auto"/>
              <w:left w:val="nil"/>
              <w:bottom w:val="nil"/>
              <w:right w:val="single" w:sz="8" w:space="0" w:color="auto"/>
            </w:tcBorders>
            <w:shd w:val="clear" w:color="000000" w:fill="C6D9F1"/>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Feb</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Mar</w:t>
            </w:r>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Abr</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May</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Jun</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Jul</w:t>
            </w:r>
            <w:proofErr w:type="spellEnd"/>
          </w:p>
        </w:tc>
        <w:tc>
          <w:tcPr>
            <w:tcW w:w="310"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Ago</w:t>
            </w:r>
            <w:proofErr w:type="spellEnd"/>
          </w:p>
        </w:tc>
        <w:tc>
          <w:tcPr>
            <w:tcW w:w="310" w:type="pct"/>
            <w:tcBorders>
              <w:top w:val="single" w:sz="8" w:space="0" w:color="auto"/>
              <w:left w:val="nil"/>
              <w:bottom w:val="nil"/>
              <w:right w:val="single" w:sz="8" w:space="0" w:color="auto"/>
            </w:tcBorders>
            <w:shd w:val="clear" w:color="000000" w:fill="C6D9F1"/>
            <w:noWrap/>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proofErr w:type="spellStart"/>
            <w:r w:rsidRPr="008256FC">
              <w:rPr>
                <w:rFonts w:eastAsia="Times New Roman" w:cs="Arial"/>
                <w:color w:val="000000"/>
                <w:sz w:val="14"/>
                <w:szCs w:val="14"/>
                <w:lang w:eastAsia="es-MX"/>
              </w:rPr>
              <w:t>Sep</w:t>
            </w:r>
            <w:proofErr w:type="spellEnd"/>
          </w:p>
        </w:tc>
        <w:tc>
          <w:tcPr>
            <w:tcW w:w="334" w:type="pct"/>
            <w:tcBorders>
              <w:top w:val="single" w:sz="8" w:space="0" w:color="auto"/>
              <w:left w:val="nil"/>
              <w:bottom w:val="nil"/>
              <w:right w:val="single" w:sz="8" w:space="0" w:color="auto"/>
            </w:tcBorders>
            <w:shd w:val="clear" w:color="000000" w:fill="C6D9F1"/>
            <w:vAlign w:val="center"/>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Anual</w:t>
            </w:r>
          </w:p>
        </w:tc>
      </w:tr>
      <w:tr w:rsidR="005F10AC" w:rsidRPr="008256FC" w:rsidTr="00BD0A86">
        <w:trPr>
          <w:trHeight w:val="315"/>
        </w:trPr>
        <w:tc>
          <w:tcPr>
            <w:tcW w:w="310" w:type="pct"/>
            <w:tcBorders>
              <w:top w:val="nil"/>
              <w:left w:val="single" w:sz="8" w:space="0" w:color="auto"/>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Cultivo</w:t>
            </w:r>
          </w:p>
        </w:tc>
        <w:tc>
          <w:tcPr>
            <w:tcW w:w="310"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(ha)</w:t>
            </w:r>
          </w:p>
        </w:tc>
        <w:tc>
          <w:tcPr>
            <w:tcW w:w="322"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double" w:sz="6" w:space="0" w:color="auto"/>
              <w:right w:val="single" w:sz="8" w:space="0" w:color="auto"/>
            </w:tcBorders>
            <w:shd w:val="clear" w:color="000000" w:fill="C6D9F1"/>
            <w:noWrap/>
            <w:vAlign w:val="bottom"/>
            <w:hideMark/>
          </w:tcPr>
          <w:p w:rsidR="005F10AC" w:rsidRPr="008256FC" w:rsidRDefault="005F10AC" w:rsidP="00BD0A86">
            <w:pPr>
              <w:spacing w:before="0" w:after="0" w:line="240" w:lineRule="auto"/>
              <w:ind w:firstLine="0"/>
              <w:jc w:val="left"/>
              <w:rPr>
                <w:rFonts w:ascii="Calibri" w:eastAsia="Times New Roman" w:hAnsi="Calibri" w:cs="Times New Roman"/>
                <w:color w:val="000000"/>
                <w:sz w:val="14"/>
                <w:szCs w:val="14"/>
                <w:lang w:eastAsia="es-MX"/>
              </w:rPr>
            </w:pPr>
            <w:r w:rsidRPr="008256FC">
              <w:rPr>
                <w:rFonts w:ascii="Calibri" w:eastAsia="Times New Roman" w:hAnsi="Calibri" w:cs="Times New Roman"/>
                <w:color w:val="000000"/>
                <w:sz w:val="14"/>
                <w:szCs w:val="14"/>
                <w:lang w:eastAsia="es-MX"/>
              </w:rPr>
              <w:t> </w:t>
            </w:r>
          </w:p>
        </w:tc>
        <w:tc>
          <w:tcPr>
            <w:tcW w:w="334" w:type="pct"/>
            <w:tcBorders>
              <w:top w:val="nil"/>
              <w:left w:val="nil"/>
              <w:bottom w:val="double" w:sz="6" w:space="0" w:color="auto"/>
              <w:right w:val="single" w:sz="8" w:space="0" w:color="auto"/>
            </w:tcBorders>
            <w:shd w:val="clear" w:color="000000" w:fill="C6D9F1"/>
            <w:hideMark/>
          </w:tcPr>
          <w:p w:rsidR="005F10AC" w:rsidRPr="008256FC" w:rsidRDefault="005F10AC" w:rsidP="00BD0A86">
            <w:pPr>
              <w:spacing w:before="0" w:after="0" w:line="240" w:lineRule="auto"/>
              <w:ind w:firstLine="0"/>
              <w:jc w:val="center"/>
              <w:rPr>
                <w:rFonts w:eastAsia="Times New Roman" w:cs="Arial"/>
                <w:color w:val="000000"/>
                <w:sz w:val="14"/>
                <w:szCs w:val="14"/>
                <w:lang w:eastAsia="es-MX"/>
              </w:rPr>
            </w:pPr>
            <w:r w:rsidRPr="008256FC">
              <w:rPr>
                <w:rFonts w:eastAsia="Times New Roman" w:cs="Arial"/>
                <w:color w:val="000000"/>
                <w:sz w:val="14"/>
                <w:szCs w:val="14"/>
                <w:lang w:eastAsia="es-MX"/>
              </w:rPr>
              <w:t> </w:t>
            </w:r>
          </w:p>
        </w:tc>
      </w:tr>
      <w:tr w:rsidR="005F10AC" w:rsidRPr="008256FC" w:rsidTr="00352076">
        <w:trPr>
          <w:trHeight w:val="178"/>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Puebla</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22,848</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1,421.50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1,421.50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1,421.50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1,421.50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4,264.60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10,661.50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14,215.30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10,661.50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10,661.50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10,661.50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4,264.60</w:t>
            </w:r>
          </w:p>
        </w:tc>
        <w:tc>
          <w:tcPr>
            <w:tcW w:w="334"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71,076.40</w:t>
            </w:r>
          </w:p>
        </w:tc>
      </w:tr>
      <w:tr w:rsidR="005F10AC" w:rsidRPr="008256FC" w:rsidTr="00352076">
        <w:trPr>
          <w:trHeight w:val="142"/>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Perenne</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5,712</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w:t>
            </w:r>
          </w:p>
        </w:tc>
        <w:tc>
          <w:tcPr>
            <w:tcW w:w="334"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67,009.00</w:t>
            </w:r>
          </w:p>
        </w:tc>
      </w:tr>
      <w:tr w:rsidR="005F10AC" w:rsidRPr="008256FC" w:rsidTr="00352076">
        <w:trPr>
          <w:trHeight w:val="129"/>
        </w:trPr>
        <w:tc>
          <w:tcPr>
            <w:tcW w:w="310" w:type="pct"/>
            <w:tcBorders>
              <w:top w:val="nil"/>
              <w:left w:val="single" w:sz="8" w:space="0" w:color="auto"/>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28,560</w:t>
            </w:r>
          </w:p>
        </w:tc>
        <w:tc>
          <w:tcPr>
            <w:tcW w:w="322"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6,700.90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8,122.40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8,122.40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1,421.50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1,421.50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10,965.50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17,362.40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20,916.20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17,362.40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17,362.40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17,362.40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10,965.50</w:t>
            </w:r>
          </w:p>
        </w:tc>
        <w:tc>
          <w:tcPr>
            <w:tcW w:w="334"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138,085.40</w:t>
            </w:r>
          </w:p>
        </w:tc>
      </w:tr>
      <w:tr w:rsidR="005F10AC" w:rsidRPr="008256FC" w:rsidTr="00352076">
        <w:trPr>
          <w:trHeight w:val="225"/>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Tlaxcala</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0" w:type="pct"/>
            <w:tcBorders>
              <w:top w:val="single" w:sz="8" w:space="0" w:color="auto"/>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10,702</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665.8</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665.8</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665.8</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665.8</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1,997.50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4,993.60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6,658.20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4,993.60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4,993.60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4,993.60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1,997.50</w:t>
            </w:r>
          </w:p>
        </w:tc>
        <w:tc>
          <w:tcPr>
            <w:tcW w:w="334"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33,290.90</w:t>
            </w:r>
          </w:p>
        </w:tc>
      </w:tr>
      <w:tr w:rsidR="005F10AC" w:rsidRPr="008256FC" w:rsidTr="00352076">
        <w:trPr>
          <w:trHeight w:val="149"/>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Perenne</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2,038</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w:t>
            </w:r>
          </w:p>
        </w:tc>
        <w:tc>
          <w:tcPr>
            <w:tcW w:w="334"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23,913.00</w:t>
            </w:r>
          </w:p>
        </w:tc>
      </w:tr>
      <w:tr w:rsidR="005F10AC" w:rsidRPr="008256FC" w:rsidTr="00352076">
        <w:trPr>
          <w:trHeight w:val="138"/>
        </w:trPr>
        <w:tc>
          <w:tcPr>
            <w:tcW w:w="310" w:type="pct"/>
            <w:tcBorders>
              <w:top w:val="nil"/>
              <w:left w:val="single" w:sz="8" w:space="0" w:color="auto"/>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12,740</w:t>
            </w:r>
          </w:p>
        </w:tc>
        <w:tc>
          <w:tcPr>
            <w:tcW w:w="322"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2,391.30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3,057.10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3,057.10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665.8</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665.8</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4,388.80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7,384.90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9,049.50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7,384.90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7,384.90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7,384.90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4,388.80</w:t>
            </w:r>
          </w:p>
        </w:tc>
        <w:tc>
          <w:tcPr>
            <w:tcW w:w="334"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57,203.90</w:t>
            </w:r>
          </w:p>
        </w:tc>
      </w:tr>
      <w:tr w:rsidR="005F10AC" w:rsidRPr="008256FC" w:rsidTr="00352076">
        <w:trPr>
          <w:trHeight w:val="91"/>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Ver</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4,200</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919.7</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2,299.20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3,065.60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3,065.60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2,759.00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2,299.20</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919.7</w:t>
            </w:r>
          </w:p>
        </w:tc>
        <w:tc>
          <w:tcPr>
            <w:tcW w:w="334"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15,328.00</w:t>
            </w:r>
          </w:p>
        </w:tc>
      </w:tr>
      <w:tr w:rsidR="005F10AC" w:rsidRPr="008256FC" w:rsidTr="00352076">
        <w:trPr>
          <w:trHeight w:val="95"/>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Perenne</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0</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34" w:type="pct"/>
            <w:tcBorders>
              <w:top w:val="nil"/>
              <w:left w:val="nil"/>
              <w:bottom w:val="nil"/>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 </w:t>
            </w:r>
          </w:p>
        </w:tc>
      </w:tr>
      <w:tr w:rsidR="005F10AC" w:rsidRPr="008256FC" w:rsidTr="00352076">
        <w:trPr>
          <w:trHeight w:val="95"/>
        </w:trPr>
        <w:tc>
          <w:tcPr>
            <w:tcW w:w="310" w:type="pct"/>
            <w:tcBorders>
              <w:top w:val="nil"/>
              <w:left w:val="single" w:sz="8" w:space="0" w:color="auto"/>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4,200</w:t>
            </w:r>
          </w:p>
        </w:tc>
        <w:tc>
          <w:tcPr>
            <w:tcW w:w="322"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919.7</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2,299.20</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3,065.60</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3,065.60</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2,759.00</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2,299.20</w:t>
            </w:r>
          </w:p>
        </w:tc>
        <w:tc>
          <w:tcPr>
            <w:tcW w:w="310"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919.7</w:t>
            </w:r>
          </w:p>
        </w:tc>
        <w:tc>
          <w:tcPr>
            <w:tcW w:w="334" w:type="pct"/>
            <w:tcBorders>
              <w:top w:val="nil"/>
              <w:left w:val="nil"/>
              <w:bottom w:val="single" w:sz="8" w:space="0" w:color="auto"/>
              <w:right w:val="single" w:sz="8" w:space="0" w:color="auto"/>
            </w:tcBorders>
            <w:shd w:val="clear" w:color="auto" w:fill="auto"/>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15,328.00</w:t>
            </w:r>
          </w:p>
        </w:tc>
      </w:tr>
      <w:tr w:rsidR="005F10AC" w:rsidRPr="008256FC" w:rsidTr="00352076">
        <w:trPr>
          <w:trHeight w:val="155"/>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Cíclico</w:t>
            </w:r>
          </w:p>
        </w:tc>
        <w:tc>
          <w:tcPr>
            <w:tcW w:w="310" w:type="pct"/>
            <w:tcBorders>
              <w:top w:val="single" w:sz="8" w:space="0" w:color="auto"/>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37,750</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xml:space="preserve">                -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2,087.30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2,087.30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2,087.30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2,087.30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7,181.70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17,954.30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23,939.10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18,720.70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18,414.10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17,954.30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7,181.70</w:t>
            </w:r>
          </w:p>
        </w:tc>
        <w:tc>
          <w:tcPr>
            <w:tcW w:w="334"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119,695.40</w:t>
            </w:r>
          </w:p>
        </w:tc>
      </w:tr>
      <w:tr w:rsidR="005F10AC" w:rsidRPr="008256FC" w:rsidTr="00352076">
        <w:trPr>
          <w:trHeight w:val="121"/>
        </w:trPr>
        <w:tc>
          <w:tcPr>
            <w:tcW w:w="310" w:type="pct"/>
            <w:tcBorders>
              <w:top w:val="nil"/>
              <w:left w:val="single" w:sz="8" w:space="0" w:color="auto"/>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Perenne</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7,750</w:t>
            </w:r>
          </w:p>
        </w:tc>
        <w:tc>
          <w:tcPr>
            <w:tcW w:w="322"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xml:space="preserve">            -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 xml:space="preserve">            -   </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10"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w:t>
            </w:r>
          </w:p>
        </w:tc>
        <w:tc>
          <w:tcPr>
            <w:tcW w:w="334" w:type="pct"/>
            <w:tcBorders>
              <w:top w:val="nil"/>
              <w:left w:val="nil"/>
              <w:bottom w:val="nil"/>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90,922.00</w:t>
            </w:r>
          </w:p>
        </w:tc>
      </w:tr>
      <w:tr w:rsidR="005F10AC" w:rsidRPr="008256FC" w:rsidTr="00352076">
        <w:trPr>
          <w:trHeight w:val="124"/>
        </w:trPr>
        <w:tc>
          <w:tcPr>
            <w:tcW w:w="310" w:type="pct"/>
            <w:tcBorders>
              <w:top w:val="nil"/>
              <w:left w:val="single" w:sz="8" w:space="0" w:color="auto"/>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 </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left"/>
              <w:rPr>
                <w:rFonts w:eastAsia="Times New Roman" w:cs="Arial"/>
                <w:color w:val="000000"/>
                <w:sz w:val="14"/>
                <w:szCs w:val="14"/>
                <w:lang w:eastAsia="es-MX"/>
              </w:rPr>
            </w:pPr>
            <w:r w:rsidRPr="008256FC">
              <w:rPr>
                <w:rFonts w:eastAsia="Times New Roman" w:cs="Arial"/>
                <w:color w:val="000000"/>
                <w:sz w:val="14"/>
                <w:szCs w:val="14"/>
                <w:lang w:eastAsia="es-MX"/>
              </w:rPr>
              <w:t>Total</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color w:val="000000"/>
                <w:sz w:val="14"/>
                <w:szCs w:val="14"/>
                <w:lang w:eastAsia="es-MX"/>
              </w:rPr>
            </w:pPr>
            <w:r w:rsidRPr="008256FC">
              <w:rPr>
                <w:rFonts w:eastAsia="Times New Roman" w:cs="Arial"/>
                <w:color w:val="000000"/>
                <w:sz w:val="14"/>
                <w:szCs w:val="14"/>
                <w:lang w:eastAsia="es-MX"/>
              </w:rPr>
              <w:t>45,500</w:t>
            </w:r>
          </w:p>
        </w:tc>
        <w:tc>
          <w:tcPr>
            <w:tcW w:w="322"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9,092.20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11,179.50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11,179.50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2,087.30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2,087.30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16,273.90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27,046.50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33,031.30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27,812.90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27,506.30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27,046.50</w:t>
            </w:r>
          </w:p>
        </w:tc>
        <w:tc>
          <w:tcPr>
            <w:tcW w:w="310"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16,273.90</w:t>
            </w:r>
          </w:p>
        </w:tc>
        <w:tc>
          <w:tcPr>
            <w:tcW w:w="334" w:type="pct"/>
            <w:tcBorders>
              <w:top w:val="nil"/>
              <w:left w:val="nil"/>
              <w:bottom w:val="single" w:sz="8" w:space="0" w:color="auto"/>
              <w:right w:val="single" w:sz="8" w:space="0" w:color="auto"/>
            </w:tcBorders>
            <w:shd w:val="clear" w:color="auto" w:fill="auto"/>
            <w:noWrap/>
            <w:vAlign w:val="bottom"/>
            <w:hideMark/>
          </w:tcPr>
          <w:p w:rsidR="005F10AC" w:rsidRPr="008256FC" w:rsidRDefault="005F10AC" w:rsidP="00BD0A86">
            <w:pPr>
              <w:spacing w:before="0" w:after="0" w:line="240" w:lineRule="auto"/>
              <w:ind w:firstLine="0"/>
              <w:jc w:val="right"/>
              <w:rPr>
                <w:rFonts w:eastAsia="Times New Roman" w:cs="Arial"/>
                <w:b/>
                <w:bCs/>
                <w:color w:val="000000"/>
                <w:sz w:val="14"/>
                <w:szCs w:val="14"/>
                <w:lang w:eastAsia="es-MX"/>
              </w:rPr>
            </w:pPr>
            <w:r w:rsidRPr="008256FC">
              <w:rPr>
                <w:rFonts w:eastAsia="Times New Roman" w:cs="Arial"/>
                <w:b/>
                <w:bCs/>
                <w:color w:val="000000"/>
                <w:sz w:val="14"/>
                <w:szCs w:val="14"/>
                <w:lang w:eastAsia="es-MX"/>
              </w:rPr>
              <w:t>210,617.40</w:t>
            </w:r>
          </w:p>
        </w:tc>
      </w:tr>
    </w:tbl>
    <w:p w:rsidR="005F10AC" w:rsidRDefault="005F10AC" w:rsidP="002F065B">
      <w:pPr>
        <w:sectPr w:rsidR="005F10AC" w:rsidSect="00352076">
          <w:pgSz w:w="15840" w:h="12240" w:orient="landscape" w:code="1"/>
          <w:pgMar w:top="1418" w:right="1374" w:bottom="1134" w:left="1701" w:header="709" w:footer="567" w:gutter="0"/>
          <w:cols w:space="708"/>
          <w:docGrid w:linePitch="360"/>
        </w:sectPr>
      </w:pPr>
    </w:p>
    <w:p w:rsidR="00582F69" w:rsidRDefault="007853CF" w:rsidP="008011C2">
      <w:pPr>
        <w:pStyle w:val="Tabla1cap6"/>
        <w:outlineLvl w:val="0"/>
      </w:pPr>
      <w:r w:rsidRPr="007853CF">
        <w:lastRenderedPageBreak/>
        <w:t>Estimación del requerimiento de riego neto para los cultivos de la región de Perote-Zalayeta</w:t>
      </w:r>
    </w:p>
    <w:tbl>
      <w:tblPr>
        <w:tblW w:w="0" w:type="auto"/>
        <w:jc w:val="center"/>
        <w:tblBorders>
          <w:top w:val="single" w:sz="12" w:space="0" w:color="008000"/>
          <w:bottom w:val="single" w:sz="12" w:space="0" w:color="008000"/>
        </w:tblBorders>
        <w:tblLook w:val="04A0"/>
      </w:tblPr>
      <w:tblGrid>
        <w:gridCol w:w="1980"/>
        <w:gridCol w:w="1980"/>
        <w:gridCol w:w="90"/>
        <w:gridCol w:w="1764"/>
        <w:gridCol w:w="126"/>
        <w:gridCol w:w="1980"/>
      </w:tblGrid>
      <w:tr w:rsidR="007853CF" w:rsidRPr="002E4597" w:rsidTr="00EB0C48">
        <w:trPr>
          <w:jc w:val="center"/>
        </w:trPr>
        <w:tc>
          <w:tcPr>
            <w:tcW w:w="1980" w:type="dxa"/>
            <w:tcBorders>
              <w:bottom w:val="single" w:sz="6" w:space="0" w:color="008000"/>
            </w:tcBorders>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Cultivo</w:t>
            </w:r>
          </w:p>
        </w:tc>
        <w:tc>
          <w:tcPr>
            <w:tcW w:w="2070" w:type="dxa"/>
            <w:gridSpan w:val="2"/>
            <w:tcBorders>
              <w:bottom w:val="single" w:sz="6" w:space="0" w:color="008000"/>
            </w:tcBorders>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Fecha de siembra</w:t>
            </w:r>
          </w:p>
        </w:tc>
        <w:tc>
          <w:tcPr>
            <w:tcW w:w="1890" w:type="dxa"/>
            <w:gridSpan w:val="2"/>
            <w:tcBorders>
              <w:bottom w:val="single" w:sz="6" w:space="0" w:color="008000"/>
            </w:tcBorders>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Ciclo Vegetativo</w:t>
            </w:r>
          </w:p>
          <w:p w:rsidR="007853CF" w:rsidRPr="002E4597" w:rsidRDefault="007853CF" w:rsidP="002E4597">
            <w:pPr>
              <w:spacing w:before="0" w:after="0" w:line="240" w:lineRule="auto"/>
              <w:ind w:firstLine="0"/>
              <w:jc w:val="center"/>
              <w:rPr>
                <w:rFonts w:cs="Arial"/>
                <w:sz w:val="20"/>
              </w:rPr>
            </w:pPr>
            <w:r w:rsidRPr="002E4597">
              <w:rPr>
                <w:rFonts w:cs="Arial"/>
                <w:sz w:val="20"/>
              </w:rPr>
              <w:t>(días)</w:t>
            </w:r>
          </w:p>
        </w:tc>
        <w:tc>
          <w:tcPr>
            <w:tcW w:w="1980" w:type="dxa"/>
            <w:tcBorders>
              <w:bottom w:val="single" w:sz="6" w:space="0" w:color="008000"/>
            </w:tcBorders>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Requerimiento de Riego (mm)</w:t>
            </w:r>
          </w:p>
        </w:tc>
      </w:tr>
      <w:tr w:rsidR="007853CF" w:rsidRPr="002E4597" w:rsidTr="00EB0C48">
        <w:trPr>
          <w:jc w:val="center"/>
        </w:trPr>
        <w:tc>
          <w:tcPr>
            <w:tcW w:w="1980" w:type="dxa"/>
            <w:shd w:val="clear" w:color="auto" w:fill="auto"/>
          </w:tcPr>
          <w:p w:rsidR="007853CF" w:rsidRPr="002E4597" w:rsidRDefault="007853CF" w:rsidP="002E4597">
            <w:pPr>
              <w:spacing w:before="0" w:after="0" w:line="240" w:lineRule="auto"/>
              <w:ind w:firstLine="0"/>
              <w:rPr>
                <w:rFonts w:cs="Arial"/>
                <w:sz w:val="20"/>
              </w:rPr>
            </w:pPr>
            <w:r w:rsidRPr="002E4597">
              <w:rPr>
                <w:rFonts w:cs="Arial"/>
                <w:sz w:val="20"/>
              </w:rPr>
              <w:t>Papa</w:t>
            </w:r>
          </w:p>
        </w:tc>
        <w:tc>
          <w:tcPr>
            <w:tcW w:w="1980" w:type="dxa"/>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1° abril</w:t>
            </w:r>
          </w:p>
        </w:tc>
        <w:tc>
          <w:tcPr>
            <w:tcW w:w="1854"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150</w:t>
            </w:r>
          </w:p>
        </w:tc>
        <w:tc>
          <w:tcPr>
            <w:tcW w:w="2106"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310.8</w:t>
            </w:r>
          </w:p>
        </w:tc>
      </w:tr>
      <w:tr w:rsidR="007853CF" w:rsidRPr="002E4597" w:rsidTr="00EB0C48">
        <w:trPr>
          <w:jc w:val="center"/>
        </w:trPr>
        <w:tc>
          <w:tcPr>
            <w:tcW w:w="1980" w:type="dxa"/>
            <w:shd w:val="clear" w:color="auto" w:fill="auto"/>
          </w:tcPr>
          <w:p w:rsidR="007853CF" w:rsidRPr="002E4597" w:rsidRDefault="007853CF" w:rsidP="002E4597">
            <w:pPr>
              <w:spacing w:before="0" w:after="0" w:line="240" w:lineRule="auto"/>
              <w:ind w:firstLine="0"/>
              <w:rPr>
                <w:rFonts w:cs="Arial"/>
                <w:sz w:val="20"/>
              </w:rPr>
            </w:pPr>
            <w:r w:rsidRPr="002E4597">
              <w:rPr>
                <w:rFonts w:cs="Arial"/>
                <w:sz w:val="20"/>
              </w:rPr>
              <w:t>Zanahoria</w:t>
            </w:r>
          </w:p>
        </w:tc>
        <w:tc>
          <w:tcPr>
            <w:tcW w:w="1980" w:type="dxa"/>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1° junio</w:t>
            </w:r>
          </w:p>
        </w:tc>
        <w:tc>
          <w:tcPr>
            <w:tcW w:w="1854"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120</w:t>
            </w:r>
          </w:p>
        </w:tc>
        <w:tc>
          <w:tcPr>
            <w:tcW w:w="2106"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189.5</w:t>
            </w:r>
          </w:p>
        </w:tc>
      </w:tr>
      <w:tr w:rsidR="007853CF" w:rsidRPr="002E4597" w:rsidTr="00EB0C48">
        <w:trPr>
          <w:jc w:val="center"/>
        </w:trPr>
        <w:tc>
          <w:tcPr>
            <w:tcW w:w="1980" w:type="dxa"/>
            <w:shd w:val="clear" w:color="auto" w:fill="auto"/>
          </w:tcPr>
          <w:p w:rsidR="007853CF" w:rsidRPr="002E4597" w:rsidRDefault="007853CF" w:rsidP="002E4597">
            <w:pPr>
              <w:spacing w:before="0" w:after="0" w:line="240" w:lineRule="auto"/>
              <w:ind w:firstLine="0"/>
              <w:rPr>
                <w:rFonts w:cs="Arial"/>
                <w:sz w:val="20"/>
              </w:rPr>
            </w:pPr>
            <w:r w:rsidRPr="002E4597">
              <w:rPr>
                <w:rFonts w:cs="Arial"/>
                <w:sz w:val="20"/>
              </w:rPr>
              <w:t>Maíz grano</w:t>
            </w:r>
          </w:p>
        </w:tc>
        <w:tc>
          <w:tcPr>
            <w:tcW w:w="1980" w:type="dxa"/>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15 marzo</w:t>
            </w:r>
          </w:p>
        </w:tc>
        <w:tc>
          <w:tcPr>
            <w:tcW w:w="1854"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180</w:t>
            </w:r>
          </w:p>
        </w:tc>
        <w:tc>
          <w:tcPr>
            <w:tcW w:w="2106"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443.1</w:t>
            </w:r>
          </w:p>
        </w:tc>
      </w:tr>
      <w:tr w:rsidR="007853CF" w:rsidRPr="002E4597" w:rsidTr="00EB0C48">
        <w:trPr>
          <w:jc w:val="center"/>
        </w:trPr>
        <w:tc>
          <w:tcPr>
            <w:tcW w:w="1980" w:type="dxa"/>
            <w:shd w:val="clear" w:color="auto" w:fill="auto"/>
          </w:tcPr>
          <w:p w:rsidR="007853CF" w:rsidRPr="002E4597" w:rsidRDefault="007853CF" w:rsidP="002E4597">
            <w:pPr>
              <w:spacing w:before="0" w:after="0" w:line="240" w:lineRule="auto"/>
              <w:ind w:firstLine="0"/>
              <w:rPr>
                <w:rFonts w:cs="Arial"/>
                <w:sz w:val="20"/>
              </w:rPr>
            </w:pPr>
            <w:r w:rsidRPr="002E4597">
              <w:rPr>
                <w:rFonts w:cs="Arial"/>
                <w:sz w:val="20"/>
              </w:rPr>
              <w:t>Haba grano</w:t>
            </w:r>
          </w:p>
        </w:tc>
        <w:tc>
          <w:tcPr>
            <w:tcW w:w="1980" w:type="dxa"/>
            <w:shd w:val="clear" w:color="auto" w:fill="auto"/>
          </w:tcPr>
          <w:p w:rsidR="007853CF" w:rsidRPr="002E4597" w:rsidRDefault="007853CF" w:rsidP="002E4597">
            <w:pPr>
              <w:spacing w:before="0" w:after="0" w:line="240" w:lineRule="auto"/>
              <w:ind w:firstLine="0"/>
              <w:jc w:val="center"/>
              <w:rPr>
                <w:rFonts w:cs="Arial"/>
                <w:sz w:val="20"/>
              </w:rPr>
            </w:pPr>
            <w:r w:rsidRPr="002E4597">
              <w:rPr>
                <w:rFonts w:cs="Arial"/>
                <w:sz w:val="20"/>
              </w:rPr>
              <w:t>1° abril</w:t>
            </w:r>
          </w:p>
        </w:tc>
        <w:tc>
          <w:tcPr>
            <w:tcW w:w="1854"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120</w:t>
            </w:r>
          </w:p>
        </w:tc>
        <w:tc>
          <w:tcPr>
            <w:tcW w:w="2106"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235.2</w:t>
            </w:r>
          </w:p>
        </w:tc>
      </w:tr>
      <w:tr w:rsidR="007853CF" w:rsidRPr="002E4597" w:rsidTr="00EB0C48">
        <w:trPr>
          <w:jc w:val="center"/>
        </w:trPr>
        <w:tc>
          <w:tcPr>
            <w:tcW w:w="1980" w:type="dxa"/>
            <w:shd w:val="clear" w:color="auto" w:fill="auto"/>
          </w:tcPr>
          <w:p w:rsidR="007853CF" w:rsidRPr="002E4597" w:rsidRDefault="007853CF" w:rsidP="002E4597">
            <w:pPr>
              <w:spacing w:before="0" w:after="0" w:line="240" w:lineRule="auto"/>
              <w:ind w:firstLine="0"/>
              <w:rPr>
                <w:rFonts w:cs="Arial"/>
                <w:sz w:val="20"/>
              </w:rPr>
            </w:pPr>
            <w:r w:rsidRPr="002E4597">
              <w:rPr>
                <w:rFonts w:cs="Arial"/>
                <w:sz w:val="20"/>
              </w:rPr>
              <w:t>Promedio Cíclicos</w:t>
            </w:r>
          </w:p>
        </w:tc>
        <w:tc>
          <w:tcPr>
            <w:tcW w:w="1980" w:type="dxa"/>
            <w:shd w:val="clear" w:color="auto" w:fill="auto"/>
          </w:tcPr>
          <w:p w:rsidR="007853CF" w:rsidRPr="002E4597" w:rsidRDefault="007853CF" w:rsidP="002E4597">
            <w:pPr>
              <w:spacing w:before="0" w:after="0" w:line="240" w:lineRule="auto"/>
              <w:ind w:firstLine="0"/>
              <w:jc w:val="center"/>
              <w:rPr>
                <w:rFonts w:cs="Arial"/>
                <w:sz w:val="20"/>
              </w:rPr>
            </w:pPr>
          </w:p>
        </w:tc>
        <w:tc>
          <w:tcPr>
            <w:tcW w:w="1854"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142</w:t>
            </w:r>
          </w:p>
        </w:tc>
        <w:tc>
          <w:tcPr>
            <w:tcW w:w="2106" w:type="dxa"/>
            <w:gridSpan w:val="2"/>
            <w:shd w:val="clear" w:color="auto" w:fill="auto"/>
          </w:tcPr>
          <w:p w:rsidR="007853CF" w:rsidRPr="002E4597" w:rsidRDefault="007853CF" w:rsidP="002E4597">
            <w:pPr>
              <w:spacing w:before="0" w:after="0" w:line="240" w:lineRule="auto"/>
              <w:ind w:firstLine="0"/>
              <w:jc w:val="right"/>
              <w:rPr>
                <w:rFonts w:cs="Arial"/>
                <w:sz w:val="20"/>
              </w:rPr>
            </w:pPr>
            <w:r w:rsidRPr="002E4597">
              <w:rPr>
                <w:rFonts w:cs="Arial"/>
                <w:sz w:val="20"/>
              </w:rPr>
              <w:t>294.7</w:t>
            </w:r>
          </w:p>
        </w:tc>
      </w:tr>
    </w:tbl>
    <w:p w:rsidR="002E4597" w:rsidRDefault="002E4597" w:rsidP="007853CF">
      <w:pPr>
        <w:rPr>
          <w:noProof/>
          <w:lang w:eastAsia="es-MX"/>
        </w:rPr>
      </w:pPr>
    </w:p>
    <w:p w:rsidR="007853CF" w:rsidRDefault="005E2E48" w:rsidP="007853CF">
      <w:pPr>
        <w:rPr>
          <w:noProof/>
          <w:lang w:eastAsia="es-MX"/>
        </w:rPr>
      </w:pPr>
      <w:r>
        <w:rPr>
          <w:noProof/>
          <w:lang w:eastAsia="es-MX"/>
        </w:rPr>
        <w:t>Mientras que para el acuífero Libres-Oriental s</w:t>
      </w:r>
      <w:r w:rsidR="007853CF">
        <w:rPr>
          <w:noProof/>
          <w:lang w:eastAsia="es-MX"/>
        </w:rPr>
        <w:t xml:space="preserve">e considera </w:t>
      </w:r>
      <w:r w:rsidR="007853CF" w:rsidRPr="00F05CF7">
        <w:rPr>
          <w:noProof/>
          <w:lang w:eastAsia="es-MX"/>
        </w:rPr>
        <w:t xml:space="preserve">que un 60% de </w:t>
      </w:r>
      <w:r>
        <w:rPr>
          <w:noProof/>
          <w:lang w:eastAsia="es-MX"/>
        </w:rPr>
        <w:t>su</w:t>
      </w:r>
      <w:r w:rsidR="007853CF" w:rsidRPr="00F05CF7">
        <w:rPr>
          <w:noProof/>
          <w:lang w:eastAsia="es-MX"/>
        </w:rPr>
        <w:t xml:space="preserve"> superficie cuenta con</w:t>
      </w:r>
      <w:r>
        <w:rPr>
          <w:noProof/>
          <w:lang w:eastAsia="es-MX"/>
        </w:rPr>
        <w:t xml:space="preserve"> tecnificación del riego, para el acuífero de Huamantla la información es escasa, pero aún as</w:t>
      </w:r>
      <w:r w:rsidR="000C1CA4">
        <w:rPr>
          <w:noProof/>
          <w:lang w:eastAsia="es-MX"/>
        </w:rPr>
        <w:t>i, se estima que un 50% de su su</w:t>
      </w:r>
      <w:r>
        <w:rPr>
          <w:noProof/>
          <w:lang w:eastAsia="es-MX"/>
        </w:rPr>
        <w:t xml:space="preserve">perficie presenta tecnificación. Para el caso del acuífero Perote-Zalayeta </w:t>
      </w:r>
      <w:r w:rsidR="000C1CA4">
        <w:rPr>
          <w:noProof/>
          <w:lang w:eastAsia="es-MX"/>
        </w:rPr>
        <w:t>éste</w:t>
      </w:r>
      <w:r>
        <w:rPr>
          <w:noProof/>
          <w:lang w:eastAsia="es-MX"/>
        </w:rPr>
        <w:t xml:space="preserve"> presenta las más altas eficiencias de conducción y aplicación. En la </w:t>
      </w:r>
      <w:r w:rsidR="00BE2961">
        <w:rPr>
          <w:noProof/>
          <w:lang w:eastAsia="es-MX"/>
        </w:rPr>
        <w:fldChar w:fldCharType="begin"/>
      </w:r>
      <w:r w:rsidR="009B2311">
        <w:rPr>
          <w:noProof/>
          <w:lang w:eastAsia="es-MX"/>
        </w:rPr>
        <w:instrText xml:space="preserve"> REF _Ref263932899 \r \h </w:instrText>
      </w:r>
      <w:r w:rsidR="00BE2961">
        <w:rPr>
          <w:noProof/>
          <w:lang w:eastAsia="es-MX"/>
        </w:rPr>
      </w:r>
      <w:r w:rsidR="00BE2961">
        <w:rPr>
          <w:noProof/>
          <w:lang w:eastAsia="es-MX"/>
        </w:rPr>
        <w:fldChar w:fldCharType="separate"/>
      </w:r>
      <w:r w:rsidR="001C36B4">
        <w:rPr>
          <w:noProof/>
          <w:lang w:eastAsia="es-MX"/>
        </w:rPr>
        <w:t>Tabla 6.16</w:t>
      </w:r>
      <w:r w:rsidR="00BE2961">
        <w:rPr>
          <w:noProof/>
          <w:lang w:eastAsia="es-MX"/>
        </w:rPr>
        <w:fldChar w:fldCharType="end"/>
      </w:r>
      <w:r w:rsidR="009B2311">
        <w:rPr>
          <w:noProof/>
          <w:lang w:eastAsia="es-MX"/>
        </w:rPr>
        <w:t xml:space="preserve"> </w:t>
      </w:r>
      <w:r>
        <w:rPr>
          <w:noProof/>
          <w:lang w:eastAsia="es-MX"/>
        </w:rPr>
        <w:t xml:space="preserve"> se </w:t>
      </w:r>
      <w:r w:rsidR="000C1CA4">
        <w:rPr>
          <w:noProof/>
          <w:lang w:eastAsia="es-MX"/>
        </w:rPr>
        <w:t>describe</w:t>
      </w:r>
      <w:r>
        <w:rPr>
          <w:noProof/>
          <w:lang w:eastAsia="es-MX"/>
        </w:rPr>
        <w:t xml:space="preserve"> la relación de ficiencias para los tres acuíferos.</w:t>
      </w:r>
    </w:p>
    <w:p w:rsidR="007853CF" w:rsidRDefault="009B2311" w:rsidP="008011C2">
      <w:pPr>
        <w:pStyle w:val="Tabla1cap6"/>
        <w:outlineLvl w:val="0"/>
      </w:pPr>
      <w:bookmarkStart w:id="169" w:name="_Ref263932899"/>
      <w:r>
        <w:t>Eficiencias de conducción y aplicación en el acuífero HLOP</w:t>
      </w:r>
      <w:bookmarkEnd w:id="169"/>
    </w:p>
    <w:tbl>
      <w:tblPr>
        <w:tblW w:w="0" w:type="auto"/>
        <w:jc w:val="center"/>
        <w:tblBorders>
          <w:top w:val="single" w:sz="12" w:space="0" w:color="008000"/>
          <w:bottom w:val="single" w:sz="12" w:space="0" w:color="008000"/>
        </w:tblBorders>
        <w:tblLook w:val="04A0"/>
      </w:tblPr>
      <w:tblGrid>
        <w:gridCol w:w="1965"/>
        <w:gridCol w:w="1965"/>
        <w:gridCol w:w="1966"/>
        <w:gridCol w:w="1966"/>
      </w:tblGrid>
      <w:tr w:rsidR="005426F7" w:rsidRPr="002E4597" w:rsidTr="005426F7">
        <w:trPr>
          <w:jc w:val="center"/>
        </w:trPr>
        <w:tc>
          <w:tcPr>
            <w:tcW w:w="1965" w:type="dxa"/>
            <w:tcBorders>
              <w:bottom w:val="single" w:sz="6" w:space="0" w:color="008000"/>
            </w:tcBorders>
            <w:shd w:val="clear" w:color="auto" w:fill="auto"/>
            <w:vAlign w:val="center"/>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Acuífero</w:t>
            </w:r>
          </w:p>
        </w:tc>
        <w:tc>
          <w:tcPr>
            <w:tcW w:w="1965" w:type="dxa"/>
            <w:tcBorders>
              <w:bottom w:val="single" w:sz="6" w:space="0" w:color="008000"/>
            </w:tcBorders>
            <w:shd w:val="clear" w:color="auto" w:fill="auto"/>
            <w:vAlign w:val="center"/>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Eficiencia de conducción</w:t>
            </w:r>
          </w:p>
        </w:tc>
        <w:tc>
          <w:tcPr>
            <w:tcW w:w="1966" w:type="dxa"/>
            <w:tcBorders>
              <w:bottom w:val="single" w:sz="6" w:space="0" w:color="008000"/>
            </w:tcBorders>
            <w:shd w:val="clear" w:color="auto" w:fill="auto"/>
            <w:vAlign w:val="center"/>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Eficiencia de aplcación</w:t>
            </w:r>
          </w:p>
        </w:tc>
        <w:tc>
          <w:tcPr>
            <w:tcW w:w="1966" w:type="dxa"/>
            <w:tcBorders>
              <w:bottom w:val="single" w:sz="6" w:space="0" w:color="008000"/>
            </w:tcBorders>
            <w:shd w:val="clear" w:color="auto" w:fill="auto"/>
            <w:vAlign w:val="center"/>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Eficiencia total</w:t>
            </w:r>
          </w:p>
        </w:tc>
      </w:tr>
      <w:tr w:rsidR="005426F7" w:rsidRPr="002E4597" w:rsidTr="005426F7">
        <w:trPr>
          <w:jc w:val="center"/>
        </w:trPr>
        <w:tc>
          <w:tcPr>
            <w:tcW w:w="1965" w:type="dxa"/>
            <w:shd w:val="clear" w:color="auto" w:fill="auto"/>
          </w:tcPr>
          <w:p w:rsidR="009B2311" w:rsidRPr="002E4597" w:rsidRDefault="009B2311" w:rsidP="002E4597">
            <w:pPr>
              <w:spacing w:before="0" w:after="0" w:line="240" w:lineRule="auto"/>
              <w:ind w:firstLine="0"/>
              <w:rPr>
                <w:noProof/>
                <w:sz w:val="20"/>
                <w:lang w:eastAsia="es-MX"/>
              </w:rPr>
            </w:pPr>
            <w:r w:rsidRPr="002E4597">
              <w:rPr>
                <w:noProof/>
                <w:sz w:val="20"/>
                <w:lang w:eastAsia="es-MX"/>
              </w:rPr>
              <w:t>Huamantla (</w:t>
            </w:r>
            <w:r w:rsidRPr="002E4597">
              <w:rPr>
                <w:noProof/>
                <w:sz w:val="20"/>
                <w:vertAlign w:val="superscript"/>
                <w:lang w:eastAsia="es-MX"/>
              </w:rPr>
              <w:t>1</w:t>
            </w:r>
            <w:r w:rsidRPr="002E4597">
              <w:rPr>
                <w:noProof/>
                <w:sz w:val="20"/>
                <w:lang w:eastAsia="es-MX"/>
              </w:rPr>
              <w:t>)</w:t>
            </w:r>
          </w:p>
        </w:tc>
        <w:tc>
          <w:tcPr>
            <w:tcW w:w="1965"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65%</w:t>
            </w:r>
          </w:p>
        </w:tc>
        <w:tc>
          <w:tcPr>
            <w:tcW w:w="1966"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65%</w:t>
            </w:r>
          </w:p>
        </w:tc>
        <w:tc>
          <w:tcPr>
            <w:tcW w:w="1966"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42%</w:t>
            </w:r>
          </w:p>
        </w:tc>
      </w:tr>
      <w:tr w:rsidR="005426F7" w:rsidRPr="002E4597" w:rsidTr="005426F7">
        <w:trPr>
          <w:jc w:val="center"/>
        </w:trPr>
        <w:tc>
          <w:tcPr>
            <w:tcW w:w="1965" w:type="dxa"/>
            <w:shd w:val="clear" w:color="auto" w:fill="auto"/>
          </w:tcPr>
          <w:p w:rsidR="009B2311" w:rsidRPr="002E4597" w:rsidRDefault="009B2311" w:rsidP="002E4597">
            <w:pPr>
              <w:spacing w:before="0" w:after="0" w:line="240" w:lineRule="auto"/>
              <w:ind w:firstLine="0"/>
              <w:rPr>
                <w:noProof/>
                <w:sz w:val="20"/>
                <w:lang w:eastAsia="es-MX"/>
              </w:rPr>
            </w:pPr>
            <w:r w:rsidRPr="002E4597">
              <w:rPr>
                <w:noProof/>
                <w:sz w:val="20"/>
                <w:lang w:eastAsia="es-MX"/>
              </w:rPr>
              <w:t>Libres-Oriental (</w:t>
            </w:r>
            <w:r w:rsidRPr="002E4597">
              <w:rPr>
                <w:noProof/>
                <w:sz w:val="20"/>
                <w:vertAlign w:val="superscript"/>
                <w:lang w:eastAsia="es-MX"/>
              </w:rPr>
              <w:t>2</w:t>
            </w:r>
            <w:r w:rsidRPr="002E4597">
              <w:rPr>
                <w:noProof/>
                <w:sz w:val="20"/>
                <w:lang w:eastAsia="es-MX"/>
              </w:rPr>
              <w:t>)</w:t>
            </w:r>
          </w:p>
        </w:tc>
        <w:tc>
          <w:tcPr>
            <w:tcW w:w="1965"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65%</w:t>
            </w:r>
          </w:p>
        </w:tc>
        <w:tc>
          <w:tcPr>
            <w:tcW w:w="1966"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60%</w:t>
            </w:r>
          </w:p>
        </w:tc>
        <w:tc>
          <w:tcPr>
            <w:tcW w:w="1966"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39%</w:t>
            </w:r>
          </w:p>
        </w:tc>
      </w:tr>
      <w:tr w:rsidR="005426F7" w:rsidRPr="002E4597" w:rsidTr="005426F7">
        <w:trPr>
          <w:jc w:val="center"/>
        </w:trPr>
        <w:tc>
          <w:tcPr>
            <w:tcW w:w="1965" w:type="dxa"/>
            <w:shd w:val="clear" w:color="auto" w:fill="auto"/>
          </w:tcPr>
          <w:p w:rsidR="009B2311" w:rsidRPr="002E4597" w:rsidRDefault="009B2311" w:rsidP="002E4597">
            <w:pPr>
              <w:spacing w:before="0" w:after="0" w:line="240" w:lineRule="auto"/>
              <w:ind w:firstLine="0"/>
              <w:rPr>
                <w:noProof/>
                <w:sz w:val="20"/>
                <w:lang w:eastAsia="es-MX"/>
              </w:rPr>
            </w:pPr>
            <w:r w:rsidRPr="002E4597">
              <w:rPr>
                <w:noProof/>
                <w:sz w:val="20"/>
                <w:lang w:eastAsia="es-MX"/>
              </w:rPr>
              <w:t>Perote-Zalayeta</w:t>
            </w:r>
          </w:p>
        </w:tc>
        <w:tc>
          <w:tcPr>
            <w:tcW w:w="1965"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95%</w:t>
            </w:r>
          </w:p>
        </w:tc>
        <w:tc>
          <w:tcPr>
            <w:tcW w:w="1966"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85%</w:t>
            </w:r>
          </w:p>
        </w:tc>
        <w:tc>
          <w:tcPr>
            <w:tcW w:w="1966" w:type="dxa"/>
            <w:shd w:val="clear" w:color="auto" w:fill="auto"/>
          </w:tcPr>
          <w:p w:rsidR="009B2311" w:rsidRPr="002E4597" w:rsidRDefault="009B2311" w:rsidP="002E4597">
            <w:pPr>
              <w:spacing w:before="0" w:after="0" w:line="240" w:lineRule="auto"/>
              <w:ind w:firstLine="0"/>
              <w:jc w:val="center"/>
              <w:rPr>
                <w:noProof/>
                <w:sz w:val="20"/>
                <w:lang w:eastAsia="es-MX"/>
              </w:rPr>
            </w:pPr>
            <w:r w:rsidRPr="002E4597">
              <w:rPr>
                <w:noProof/>
                <w:sz w:val="20"/>
                <w:lang w:eastAsia="es-MX"/>
              </w:rPr>
              <w:t>80%</w:t>
            </w:r>
          </w:p>
        </w:tc>
      </w:tr>
    </w:tbl>
    <w:p w:rsidR="007853CF" w:rsidRPr="009B2311" w:rsidRDefault="005E2E48" w:rsidP="005426F7">
      <w:pPr>
        <w:numPr>
          <w:ilvl w:val="0"/>
          <w:numId w:val="93"/>
        </w:numPr>
        <w:spacing w:line="240" w:lineRule="auto"/>
        <w:ind w:left="641" w:hanging="357"/>
        <w:rPr>
          <w:noProof/>
          <w:sz w:val="18"/>
          <w:szCs w:val="18"/>
          <w:lang w:eastAsia="es-MX"/>
        </w:rPr>
      </w:pPr>
      <w:r w:rsidRPr="009B2311">
        <w:rPr>
          <w:noProof/>
          <w:sz w:val="18"/>
          <w:szCs w:val="18"/>
          <w:lang w:eastAsia="es-MX"/>
        </w:rPr>
        <w:t>A partir de información corroborada en campo</w:t>
      </w:r>
    </w:p>
    <w:p w:rsidR="005E2E48" w:rsidRPr="009B2311" w:rsidRDefault="005E2E48" w:rsidP="005426F7">
      <w:pPr>
        <w:numPr>
          <w:ilvl w:val="0"/>
          <w:numId w:val="93"/>
        </w:numPr>
        <w:spacing w:line="240" w:lineRule="auto"/>
        <w:ind w:left="641" w:hanging="357"/>
        <w:rPr>
          <w:noProof/>
          <w:sz w:val="18"/>
          <w:szCs w:val="18"/>
          <w:lang w:eastAsia="es-MX"/>
        </w:rPr>
      </w:pPr>
      <w:r w:rsidRPr="009B2311">
        <w:rPr>
          <w:noProof/>
          <w:sz w:val="18"/>
          <w:szCs w:val="18"/>
          <w:lang w:eastAsia="es-MX"/>
        </w:rPr>
        <w:t>Plan Director de la  Sociedad de Responsabilidad Limitada de Productores Agrícolas de Riego Atoyac Izta del estado de Puebla</w:t>
      </w:r>
    </w:p>
    <w:p w:rsidR="002E4597" w:rsidRDefault="002E4597" w:rsidP="007853CF">
      <w:pPr>
        <w:rPr>
          <w:noProof/>
          <w:lang w:eastAsia="es-MX"/>
        </w:rPr>
      </w:pPr>
    </w:p>
    <w:p w:rsidR="007853CF" w:rsidRDefault="007853CF" w:rsidP="007853CF">
      <w:pPr>
        <w:rPr>
          <w:noProof/>
          <w:lang w:eastAsia="es-MX"/>
        </w:rPr>
      </w:pPr>
      <w:r>
        <w:rPr>
          <w:noProof/>
          <w:lang w:eastAsia="es-MX"/>
        </w:rPr>
        <w:t>La estimación de la demanda de agua para uso agrícola actual y su proyección en el corto, mediano y largo plazo representa una complicación mayor por varios motivos:</w:t>
      </w:r>
    </w:p>
    <w:p w:rsidR="007853CF" w:rsidRDefault="007853CF" w:rsidP="005426F7">
      <w:pPr>
        <w:numPr>
          <w:ilvl w:val="0"/>
          <w:numId w:val="92"/>
        </w:numPr>
        <w:rPr>
          <w:noProof/>
          <w:lang w:eastAsia="es-MX"/>
        </w:rPr>
      </w:pPr>
      <w:r>
        <w:rPr>
          <w:noProof/>
          <w:lang w:eastAsia="es-MX"/>
        </w:rPr>
        <w:t>Poca existencia de me</w:t>
      </w:r>
      <w:r w:rsidR="001527C0">
        <w:rPr>
          <w:noProof/>
          <w:lang w:eastAsia="es-MX"/>
        </w:rPr>
        <w:t>didores en las fuentes de agua -</w:t>
      </w:r>
      <w:r>
        <w:rPr>
          <w:noProof/>
          <w:lang w:eastAsia="es-MX"/>
        </w:rPr>
        <w:t>pozos y aguas superficiales</w:t>
      </w:r>
      <w:r w:rsidR="001527C0">
        <w:rPr>
          <w:noProof/>
          <w:lang w:eastAsia="es-MX"/>
        </w:rPr>
        <w:t>-,            (Puebla y Tlaxcala 21%; Veracruz 70%</w:t>
      </w:r>
      <w:r>
        <w:rPr>
          <w:noProof/>
          <w:lang w:eastAsia="es-MX"/>
        </w:rPr>
        <w:t>)</w:t>
      </w:r>
    </w:p>
    <w:p w:rsidR="007853CF" w:rsidRDefault="007853CF" w:rsidP="005426F7">
      <w:pPr>
        <w:numPr>
          <w:ilvl w:val="0"/>
          <w:numId w:val="92"/>
        </w:numPr>
        <w:rPr>
          <w:noProof/>
          <w:lang w:eastAsia="es-MX"/>
        </w:rPr>
      </w:pPr>
      <w:r>
        <w:rPr>
          <w:noProof/>
          <w:lang w:eastAsia="es-MX"/>
        </w:rPr>
        <w:t>No existen registros sistemáticos de volúmenes utilizados en las Unidades de Riego en la región.</w:t>
      </w:r>
    </w:p>
    <w:p w:rsidR="007853CF" w:rsidRDefault="007853CF" w:rsidP="005426F7">
      <w:pPr>
        <w:numPr>
          <w:ilvl w:val="0"/>
          <w:numId w:val="92"/>
        </w:numPr>
        <w:rPr>
          <w:noProof/>
          <w:lang w:eastAsia="es-MX"/>
        </w:rPr>
      </w:pPr>
      <w:r>
        <w:rPr>
          <w:noProof/>
          <w:lang w:eastAsia="es-MX"/>
        </w:rPr>
        <w:t>Solo se dispone de la información sistemática de la superficie regada que  se reporta en los anuarios estadísticos del INEGI, algunos planes directores</w:t>
      </w:r>
      <w:r w:rsidR="001527C0">
        <w:rPr>
          <w:noProof/>
          <w:lang w:eastAsia="es-MX"/>
        </w:rPr>
        <w:t>,</w:t>
      </w:r>
      <w:r>
        <w:rPr>
          <w:noProof/>
          <w:lang w:eastAsia="es-MX"/>
        </w:rPr>
        <w:t xml:space="preserve"> y por las estadísticas agrícolas, a parir del año agrícola 2004-05</w:t>
      </w:r>
    </w:p>
    <w:p w:rsidR="007853CF" w:rsidRDefault="007853CF" w:rsidP="005426F7">
      <w:pPr>
        <w:numPr>
          <w:ilvl w:val="0"/>
          <w:numId w:val="92"/>
        </w:numPr>
        <w:rPr>
          <w:noProof/>
          <w:lang w:eastAsia="es-MX"/>
        </w:rPr>
      </w:pPr>
      <w:r>
        <w:rPr>
          <w:noProof/>
          <w:lang w:eastAsia="es-MX"/>
        </w:rPr>
        <w:t>La información climatológica es incompleta en algunos casos</w:t>
      </w:r>
    </w:p>
    <w:p w:rsidR="007853CF" w:rsidRDefault="007853CF" w:rsidP="005426F7">
      <w:pPr>
        <w:numPr>
          <w:ilvl w:val="0"/>
          <w:numId w:val="92"/>
        </w:numPr>
        <w:rPr>
          <w:noProof/>
          <w:lang w:eastAsia="es-MX"/>
        </w:rPr>
      </w:pPr>
      <w:r>
        <w:rPr>
          <w:noProof/>
          <w:lang w:eastAsia="es-MX"/>
        </w:rPr>
        <w:t>La mayoría de los productores llevan registros incompletos de los consumos de energía eléctrica, horas de bombeo, etc.</w:t>
      </w:r>
    </w:p>
    <w:p w:rsidR="007853CF" w:rsidRDefault="000C1CA4" w:rsidP="000C1CA4">
      <w:pPr>
        <w:rPr>
          <w:noProof/>
          <w:lang w:eastAsia="es-MX"/>
        </w:rPr>
      </w:pPr>
      <w:r>
        <w:rPr>
          <w:noProof/>
          <w:lang w:eastAsia="es-MX"/>
        </w:rPr>
        <w:lastRenderedPageBreak/>
        <w:t>Aunado a lo anterior, y para la generación de escenarios, el análisis realizado se apoyó en</w:t>
      </w:r>
      <w:r w:rsidR="007853CF">
        <w:rPr>
          <w:noProof/>
          <w:lang w:eastAsia="es-MX"/>
        </w:rPr>
        <w:t xml:space="preserve"> entrevistas directas con productores, tratando de que éstos sean repr</w:t>
      </w:r>
      <w:r>
        <w:rPr>
          <w:noProof/>
          <w:lang w:eastAsia="es-MX"/>
        </w:rPr>
        <w:t>esentativos de los del acuífero; ademas, s</w:t>
      </w:r>
      <w:r w:rsidR="007853CF">
        <w:rPr>
          <w:noProof/>
          <w:lang w:eastAsia="es-MX"/>
        </w:rPr>
        <w:t xml:space="preserve">e considera que la proporción actual entre cultivos cíclicos y perennes para cada estado se mantiene, </w:t>
      </w:r>
      <w:r>
        <w:rPr>
          <w:noProof/>
          <w:lang w:eastAsia="es-MX"/>
        </w:rPr>
        <w:t>satisfaciendo</w:t>
      </w:r>
      <w:r w:rsidR="007853CF">
        <w:rPr>
          <w:noProof/>
          <w:lang w:eastAsia="es-MX"/>
        </w:rPr>
        <w:t xml:space="preserve"> las necesidades actuales de mercado (forrajes, granos y hortalizas).</w:t>
      </w:r>
    </w:p>
    <w:p w:rsidR="00F2051A" w:rsidRPr="00F2051A" w:rsidRDefault="00F2051A" w:rsidP="008011C2">
      <w:pPr>
        <w:outlineLvl w:val="0"/>
        <w:rPr>
          <w:b/>
          <w:noProof/>
          <w:lang w:eastAsia="es-MX"/>
        </w:rPr>
      </w:pPr>
      <w:r w:rsidRPr="00F2051A">
        <w:rPr>
          <w:b/>
          <w:noProof/>
          <w:lang w:eastAsia="es-MX"/>
        </w:rPr>
        <w:t>Escenario a corto plazo</w:t>
      </w:r>
    </w:p>
    <w:p w:rsidR="007853CF" w:rsidRDefault="007853CF" w:rsidP="007853CF">
      <w:pPr>
        <w:rPr>
          <w:noProof/>
          <w:lang w:eastAsia="es-MX"/>
        </w:rPr>
      </w:pPr>
      <w:r>
        <w:rPr>
          <w:noProof/>
          <w:lang w:eastAsia="es-MX"/>
        </w:rPr>
        <w:t xml:space="preserve">La estimación </w:t>
      </w:r>
      <w:r w:rsidR="006A2463">
        <w:rPr>
          <w:noProof/>
          <w:lang w:eastAsia="es-MX"/>
        </w:rPr>
        <w:t xml:space="preserve">de la demanda actual, </w:t>
      </w:r>
      <w:r>
        <w:rPr>
          <w:noProof/>
          <w:lang w:eastAsia="es-MX"/>
        </w:rPr>
        <w:t>o un primer escenario</w:t>
      </w:r>
      <w:r w:rsidR="006A2463">
        <w:rPr>
          <w:noProof/>
          <w:lang w:eastAsia="es-MX"/>
        </w:rPr>
        <w:t>,</w:t>
      </w:r>
      <w:r>
        <w:rPr>
          <w:noProof/>
          <w:lang w:eastAsia="es-MX"/>
        </w:rPr>
        <w:t xml:space="preserve"> considera que </w:t>
      </w:r>
      <w:r w:rsidR="006A2463">
        <w:rPr>
          <w:noProof/>
          <w:lang w:eastAsia="es-MX"/>
        </w:rPr>
        <w:t xml:space="preserve">la situación actual se mantiene en términos de </w:t>
      </w:r>
      <w:r>
        <w:rPr>
          <w:noProof/>
          <w:lang w:eastAsia="es-MX"/>
        </w:rPr>
        <w:t>superficie de riego</w:t>
      </w:r>
      <w:r w:rsidR="006A2463">
        <w:rPr>
          <w:noProof/>
          <w:lang w:eastAsia="es-MX"/>
        </w:rPr>
        <w:t xml:space="preserve"> y </w:t>
      </w:r>
      <w:r>
        <w:rPr>
          <w:noProof/>
          <w:lang w:eastAsia="es-MX"/>
        </w:rPr>
        <w:t>apoyos hidroagrícolas</w:t>
      </w:r>
      <w:r w:rsidR="006A2463">
        <w:rPr>
          <w:noProof/>
          <w:lang w:eastAsia="es-MX"/>
        </w:rPr>
        <w:t>,</w:t>
      </w:r>
      <w:r>
        <w:rPr>
          <w:noProof/>
          <w:lang w:eastAsia="es-MX"/>
        </w:rPr>
        <w:t xml:space="preserve"> con tendencias actuales  en tecnificación del riego</w:t>
      </w:r>
      <w:r w:rsidR="006A2463">
        <w:rPr>
          <w:noProof/>
          <w:lang w:eastAsia="es-MX"/>
        </w:rPr>
        <w:t>, y que l</w:t>
      </w:r>
      <w:r>
        <w:rPr>
          <w:noProof/>
          <w:lang w:eastAsia="es-MX"/>
        </w:rPr>
        <w:t>a demanda actua</w:t>
      </w:r>
      <w:r w:rsidR="006A2463">
        <w:rPr>
          <w:noProof/>
          <w:lang w:eastAsia="es-MX"/>
        </w:rPr>
        <w:t>l se mantiene en el corto plazo (</w:t>
      </w:r>
      <w:r>
        <w:rPr>
          <w:noProof/>
          <w:lang w:eastAsia="es-MX"/>
        </w:rPr>
        <w:t>1 a 5 años</w:t>
      </w:r>
      <w:r w:rsidR="006A2463">
        <w:rPr>
          <w:noProof/>
          <w:lang w:eastAsia="es-MX"/>
        </w:rPr>
        <w:t>).</w:t>
      </w:r>
    </w:p>
    <w:p w:rsidR="007853CF" w:rsidRPr="001527C0" w:rsidRDefault="007853CF" w:rsidP="001527C0">
      <w:pPr>
        <w:pStyle w:val="Tabla1cap6"/>
      </w:pPr>
      <w:bookmarkStart w:id="170" w:name="_Toc262468565"/>
      <w:r w:rsidRPr="000D19B1">
        <w:t xml:space="preserve">Datos básicos para estimación de la demanda actual en el acuífero y por entidad </w:t>
      </w:r>
      <w:r w:rsidRPr="001527C0">
        <w:t>federativa.</w:t>
      </w:r>
      <w:bookmarkEnd w:id="170"/>
    </w:p>
    <w:tbl>
      <w:tblPr>
        <w:tblW w:w="9450" w:type="dxa"/>
        <w:jc w:val="center"/>
        <w:tblBorders>
          <w:top w:val="single" w:sz="12" w:space="0" w:color="008000"/>
          <w:bottom w:val="single" w:sz="12" w:space="0" w:color="008000"/>
        </w:tblBorders>
        <w:tblLayout w:type="fixed"/>
        <w:tblLook w:val="04A0"/>
      </w:tblPr>
      <w:tblGrid>
        <w:gridCol w:w="1171"/>
        <w:gridCol w:w="1120"/>
        <w:gridCol w:w="1134"/>
        <w:gridCol w:w="1276"/>
        <w:gridCol w:w="992"/>
        <w:gridCol w:w="992"/>
        <w:gridCol w:w="1560"/>
        <w:gridCol w:w="1205"/>
      </w:tblGrid>
      <w:tr w:rsidR="006A2463" w:rsidRPr="00E2159F" w:rsidTr="002E4597">
        <w:trPr>
          <w:trHeight w:val="20"/>
          <w:tblHeader/>
          <w:jc w:val="center"/>
        </w:trPr>
        <w:tc>
          <w:tcPr>
            <w:tcW w:w="1171" w:type="dxa"/>
            <w:vMerge w:val="restart"/>
            <w:tcBorders>
              <w:top w:val="nil"/>
            </w:tcBorders>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Estado</w:t>
            </w:r>
          </w:p>
        </w:tc>
        <w:tc>
          <w:tcPr>
            <w:tcW w:w="1120" w:type="dxa"/>
            <w:tcBorders>
              <w:top w:val="nil"/>
              <w:bottom w:val="nil"/>
            </w:tcBorders>
            <w:shd w:val="clear" w:color="auto" w:fill="auto"/>
            <w:noWrap/>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Tipo de</w:t>
            </w:r>
          </w:p>
        </w:tc>
        <w:tc>
          <w:tcPr>
            <w:tcW w:w="1134" w:type="dxa"/>
            <w:tcBorders>
              <w:top w:val="nil"/>
              <w:bottom w:val="nil"/>
            </w:tcBorders>
            <w:shd w:val="clear" w:color="auto" w:fill="auto"/>
            <w:noWrap/>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Superficie</w:t>
            </w:r>
          </w:p>
        </w:tc>
        <w:tc>
          <w:tcPr>
            <w:tcW w:w="1276" w:type="dxa"/>
            <w:tcBorders>
              <w:top w:val="nil"/>
              <w:bottom w:val="nil"/>
            </w:tcBorders>
            <w:shd w:val="clear" w:color="auto" w:fill="auto"/>
            <w:noWrap/>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Distribución</w:t>
            </w:r>
          </w:p>
        </w:tc>
        <w:tc>
          <w:tcPr>
            <w:tcW w:w="992" w:type="dxa"/>
            <w:tcBorders>
              <w:top w:val="nil"/>
              <w:bottom w:val="nil"/>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RR neto</w:t>
            </w:r>
          </w:p>
        </w:tc>
        <w:tc>
          <w:tcPr>
            <w:tcW w:w="992" w:type="dxa"/>
            <w:tcBorders>
              <w:top w:val="nil"/>
              <w:bottom w:val="nil"/>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rPr>
            </w:pPr>
            <w:proofErr w:type="spellStart"/>
            <w:r w:rsidRPr="00E2159F">
              <w:rPr>
                <w:rFonts w:eastAsia="Times New Roman" w:cs="Arial"/>
                <w:sz w:val="18"/>
                <w:szCs w:val="18"/>
              </w:rPr>
              <w:t>Ef</w:t>
            </w:r>
            <w:proofErr w:type="spellEnd"/>
            <w:r w:rsidRPr="00E2159F">
              <w:rPr>
                <w:rFonts w:eastAsia="Times New Roman" w:cs="Arial"/>
                <w:sz w:val="18"/>
                <w:szCs w:val="18"/>
              </w:rPr>
              <w:t xml:space="preserve"> Total</w:t>
            </w:r>
          </w:p>
        </w:tc>
        <w:tc>
          <w:tcPr>
            <w:tcW w:w="2765" w:type="dxa"/>
            <w:gridSpan w:val="2"/>
            <w:tcBorders>
              <w:top w:val="nil"/>
              <w:bottom w:val="single" w:sz="8" w:space="0" w:color="008000"/>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vertAlign w:val="superscript"/>
              </w:rPr>
            </w:pPr>
            <w:r w:rsidRPr="00E2159F">
              <w:rPr>
                <w:rFonts w:eastAsia="Times New Roman" w:cs="Arial"/>
                <w:sz w:val="18"/>
                <w:szCs w:val="18"/>
              </w:rPr>
              <w:t>Volumen anual  Mm</w:t>
            </w:r>
            <w:r w:rsidRPr="00E2159F">
              <w:rPr>
                <w:rFonts w:eastAsia="Times New Roman" w:cs="Arial"/>
                <w:sz w:val="18"/>
                <w:szCs w:val="18"/>
                <w:vertAlign w:val="superscript"/>
              </w:rPr>
              <w:t>3</w:t>
            </w:r>
          </w:p>
        </w:tc>
      </w:tr>
      <w:tr w:rsidR="006A2463" w:rsidRPr="00E2159F" w:rsidTr="002E4597">
        <w:trPr>
          <w:trHeight w:val="20"/>
          <w:tblHeader/>
          <w:jc w:val="center"/>
        </w:trPr>
        <w:tc>
          <w:tcPr>
            <w:tcW w:w="1171" w:type="dxa"/>
            <w:vMerge/>
            <w:tcBorders>
              <w:bottom w:val="single" w:sz="8" w:space="0" w:color="008000"/>
            </w:tcBorders>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p>
        </w:tc>
        <w:tc>
          <w:tcPr>
            <w:tcW w:w="1120"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Cultivo</w:t>
            </w:r>
          </w:p>
        </w:tc>
        <w:tc>
          <w:tcPr>
            <w:tcW w:w="1134"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(ha)</w:t>
            </w:r>
          </w:p>
        </w:tc>
        <w:tc>
          <w:tcPr>
            <w:tcW w:w="1276"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(mm)</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w:t>
            </w:r>
          </w:p>
        </w:tc>
        <w:tc>
          <w:tcPr>
            <w:tcW w:w="1560" w:type="dxa"/>
            <w:tcBorders>
              <w:top w:val="single" w:sz="8" w:space="0" w:color="008000"/>
              <w:bottom w:val="single" w:sz="8" w:space="0" w:color="008000"/>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Demanda Actual</w:t>
            </w:r>
          </w:p>
        </w:tc>
        <w:tc>
          <w:tcPr>
            <w:tcW w:w="1205" w:type="dxa"/>
            <w:tcBorders>
              <w:top w:val="single" w:sz="8" w:space="0" w:color="008000"/>
              <w:bottom w:val="single" w:sz="8" w:space="0" w:color="008000"/>
            </w:tcBorders>
            <w:shd w:val="clear" w:color="auto" w:fill="auto"/>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Concesión</w:t>
            </w:r>
          </w:p>
        </w:tc>
      </w:tr>
      <w:tr w:rsidR="006A2463" w:rsidRPr="00E2159F" w:rsidTr="002E4597">
        <w:trPr>
          <w:trHeight w:val="20"/>
          <w:jc w:val="center"/>
        </w:trPr>
        <w:tc>
          <w:tcPr>
            <w:tcW w:w="1171" w:type="dxa"/>
            <w:vMerge w:val="restart"/>
            <w:tcBorders>
              <w:top w:val="single" w:sz="8" w:space="0" w:color="008000"/>
            </w:tcBorders>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Puebla</w:t>
            </w:r>
          </w:p>
        </w:tc>
        <w:tc>
          <w:tcPr>
            <w:tcW w:w="1120"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Cíclico</w:t>
            </w:r>
          </w:p>
        </w:tc>
        <w:tc>
          <w:tcPr>
            <w:tcW w:w="1134"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16,320 </w:t>
            </w:r>
          </w:p>
        </w:tc>
        <w:tc>
          <w:tcPr>
            <w:tcW w:w="1276"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82%</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251.2</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97.0</w:t>
            </w:r>
          </w:p>
        </w:tc>
        <w:tc>
          <w:tcPr>
            <w:tcW w:w="1205"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vAlign w:val="center"/>
            <w:hideMark/>
          </w:tcPr>
          <w:p w:rsidR="006A2463" w:rsidRPr="00E2159F" w:rsidRDefault="006A2463" w:rsidP="005830CC">
            <w:pPr>
              <w:spacing w:before="0" w:after="0"/>
              <w:jc w:val="center"/>
              <w:rPr>
                <w:rFonts w:eastAsia="Times New Roman" w:cs="Arial"/>
                <w:sz w:val="18"/>
                <w:szCs w:val="18"/>
              </w:rPr>
            </w:pPr>
          </w:p>
        </w:tc>
        <w:tc>
          <w:tcPr>
            <w:tcW w:w="1120" w:type="dxa"/>
            <w:tcBorders>
              <w:bottom w:val="nil"/>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Perenne</w:t>
            </w:r>
          </w:p>
        </w:tc>
        <w:tc>
          <w:tcPr>
            <w:tcW w:w="1134" w:type="dxa"/>
            <w:tcBorders>
              <w:bottom w:val="nil"/>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4,080 </w:t>
            </w:r>
          </w:p>
        </w:tc>
        <w:tc>
          <w:tcPr>
            <w:tcW w:w="1276" w:type="dxa"/>
            <w:tcBorders>
              <w:bottom w:val="nil"/>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18%</w:t>
            </w:r>
          </w:p>
        </w:tc>
        <w:tc>
          <w:tcPr>
            <w:tcW w:w="992" w:type="dxa"/>
            <w:tcBorders>
              <w:bottom w:val="nil"/>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947.3</w:t>
            </w:r>
          </w:p>
        </w:tc>
        <w:tc>
          <w:tcPr>
            <w:tcW w:w="992" w:type="dxa"/>
            <w:tcBorders>
              <w:bottom w:val="nil"/>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bottom w:val="nil"/>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91.5 </w:t>
            </w:r>
          </w:p>
        </w:tc>
        <w:tc>
          <w:tcPr>
            <w:tcW w:w="1205" w:type="dxa"/>
            <w:tcBorders>
              <w:bottom w:val="nil"/>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p>
        </w:tc>
        <w:tc>
          <w:tcPr>
            <w:tcW w:w="1120"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Total</w:t>
            </w:r>
          </w:p>
        </w:tc>
        <w:tc>
          <w:tcPr>
            <w:tcW w:w="1134"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20,400 </w:t>
            </w:r>
          </w:p>
        </w:tc>
        <w:tc>
          <w:tcPr>
            <w:tcW w:w="1276"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100% </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390.4</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42.0</w:t>
            </w:r>
          </w:p>
        </w:tc>
        <w:tc>
          <w:tcPr>
            <w:tcW w:w="1560"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cs="Arial"/>
                <w:bCs/>
                <w:sz w:val="18"/>
                <w:szCs w:val="18"/>
              </w:rPr>
            </w:pPr>
            <w:r w:rsidRPr="00E2159F">
              <w:rPr>
                <w:rFonts w:cs="Arial"/>
                <w:b/>
                <w:bCs/>
                <w:sz w:val="18"/>
                <w:szCs w:val="18"/>
              </w:rPr>
              <w:t xml:space="preserve">   188.5 </w:t>
            </w:r>
          </w:p>
        </w:tc>
        <w:tc>
          <w:tcPr>
            <w:tcW w:w="1205"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cs="Arial"/>
                <w:bCs/>
                <w:sz w:val="18"/>
                <w:szCs w:val="18"/>
              </w:rPr>
            </w:pPr>
            <w:r w:rsidRPr="00E2159F">
              <w:rPr>
                <w:rFonts w:cs="Arial"/>
                <w:bCs/>
                <w:sz w:val="18"/>
                <w:szCs w:val="18"/>
              </w:rPr>
              <w:t>132.6</w:t>
            </w:r>
          </w:p>
        </w:tc>
      </w:tr>
      <w:tr w:rsidR="006A2463" w:rsidRPr="00E2159F" w:rsidTr="002E4597">
        <w:trPr>
          <w:trHeight w:val="20"/>
          <w:jc w:val="center"/>
        </w:trPr>
        <w:tc>
          <w:tcPr>
            <w:tcW w:w="1171" w:type="dxa"/>
            <w:vMerge w:val="restart"/>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Tlaxcala</w:t>
            </w:r>
          </w:p>
        </w:tc>
        <w:tc>
          <w:tcPr>
            <w:tcW w:w="1120"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Cíclico</w:t>
            </w:r>
          </w:p>
        </w:tc>
        <w:tc>
          <w:tcPr>
            <w:tcW w:w="1134"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7,644 </w:t>
            </w:r>
          </w:p>
        </w:tc>
        <w:tc>
          <w:tcPr>
            <w:tcW w:w="1276"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90%</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251.2</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49.2 </w:t>
            </w:r>
          </w:p>
        </w:tc>
        <w:tc>
          <w:tcPr>
            <w:tcW w:w="1205"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vAlign w:val="center"/>
            <w:hideMark/>
          </w:tcPr>
          <w:p w:rsidR="006A2463" w:rsidRPr="00E2159F" w:rsidRDefault="006A2463" w:rsidP="005830CC">
            <w:pPr>
              <w:spacing w:before="0" w:after="0"/>
              <w:jc w:val="center"/>
              <w:rPr>
                <w:rFonts w:eastAsia="Times New Roman" w:cs="Arial"/>
                <w:sz w:val="18"/>
                <w:szCs w:val="18"/>
              </w:rPr>
            </w:pPr>
          </w:p>
        </w:tc>
        <w:tc>
          <w:tcPr>
            <w:tcW w:w="1120" w:type="dxa"/>
            <w:tcBorders>
              <w:bottom w:val="nil"/>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Perenne</w:t>
            </w:r>
          </w:p>
        </w:tc>
        <w:tc>
          <w:tcPr>
            <w:tcW w:w="1134" w:type="dxa"/>
            <w:tcBorders>
              <w:bottom w:val="nil"/>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1,456 </w:t>
            </w:r>
          </w:p>
        </w:tc>
        <w:tc>
          <w:tcPr>
            <w:tcW w:w="1276" w:type="dxa"/>
            <w:tcBorders>
              <w:bottom w:val="nil"/>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10%</w:t>
            </w:r>
          </w:p>
        </w:tc>
        <w:tc>
          <w:tcPr>
            <w:tcW w:w="992" w:type="dxa"/>
            <w:tcBorders>
              <w:bottom w:val="nil"/>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947.3</w:t>
            </w:r>
          </w:p>
        </w:tc>
        <w:tc>
          <w:tcPr>
            <w:tcW w:w="992" w:type="dxa"/>
            <w:tcBorders>
              <w:bottom w:val="nil"/>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bottom w:val="nil"/>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35.4 </w:t>
            </w:r>
          </w:p>
        </w:tc>
        <w:tc>
          <w:tcPr>
            <w:tcW w:w="1205" w:type="dxa"/>
            <w:tcBorders>
              <w:bottom w:val="nil"/>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p>
        </w:tc>
        <w:tc>
          <w:tcPr>
            <w:tcW w:w="1120"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Total</w:t>
            </w:r>
          </w:p>
        </w:tc>
        <w:tc>
          <w:tcPr>
            <w:tcW w:w="1134"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9,100 </w:t>
            </w:r>
          </w:p>
        </w:tc>
        <w:tc>
          <w:tcPr>
            <w:tcW w:w="1276"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100%</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362.6</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39.0</w:t>
            </w:r>
          </w:p>
        </w:tc>
        <w:tc>
          <w:tcPr>
            <w:tcW w:w="1560"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cs="Arial"/>
                <w:b/>
                <w:bCs/>
                <w:sz w:val="18"/>
                <w:szCs w:val="18"/>
              </w:rPr>
            </w:pPr>
            <w:r w:rsidRPr="00E2159F">
              <w:rPr>
                <w:rFonts w:cs="Arial"/>
                <w:b/>
                <w:bCs/>
                <w:sz w:val="18"/>
                <w:szCs w:val="18"/>
              </w:rPr>
              <w:t xml:space="preserve">   84.6 </w:t>
            </w:r>
          </w:p>
        </w:tc>
        <w:tc>
          <w:tcPr>
            <w:tcW w:w="1205"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cs="Arial"/>
                <w:b/>
                <w:bCs/>
                <w:sz w:val="18"/>
                <w:szCs w:val="18"/>
              </w:rPr>
            </w:pPr>
            <w:r w:rsidRPr="00E2159F">
              <w:rPr>
                <w:rFonts w:cs="Arial"/>
                <w:b/>
                <w:bCs/>
                <w:sz w:val="18"/>
                <w:szCs w:val="18"/>
              </w:rPr>
              <w:t>39.8</w:t>
            </w:r>
          </w:p>
        </w:tc>
      </w:tr>
      <w:tr w:rsidR="006A2463" w:rsidRPr="00E2159F" w:rsidTr="002E4597">
        <w:trPr>
          <w:trHeight w:val="20"/>
          <w:jc w:val="center"/>
        </w:trPr>
        <w:tc>
          <w:tcPr>
            <w:tcW w:w="1171" w:type="dxa"/>
            <w:vMerge w:val="restart"/>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Ver</w:t>
            </w:r>
          </w:p>
        </w:tc>
        <w:tc>
          <w:tcPr>
            <w:tcW w:w="1120"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Cíclico</w:t>
            </w:r>
          </w:p>
        </w:tc>
        <w:tc>
          <w:tcPr>
            <w:tcW w:w="1134"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3,000 </w:t>
            </w:r>
          </w:p>
        </w:tc>
        <w:tc>
          <w:tcPr>
            <w:tcW w:w="1276"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100%</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294.7</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10.9 </w:t>
            </w:r>
          </w:p>
        </w:tc>
        <w:tc>
          <w:tcPr>
            <w:tcW w:w="1205"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vAlign w:val="center"/>
            <w:hideMark/>
          </w:tcPr>
          <w:p w:rsidR="006A2463" w:rsidRPr="00E2159F" w:rsidRDefault="006A2463" w:rsidP="005830CC">
            <w:pPr>
              <w:spacing w:before="0" w:after="0"/>
              <w:jc w:val="center"/>
              <w:rPr>
                <w:rFonts w:eastAsia="Times New Roman" w:cs="Arial"/>
                <w:sz w:val="18"/>
                <w:szCs w:val="18"/>
              </w:rPr>
            </w:pPr>
          </w:p>
        </w:tc>
        <w:tc>
          <w:tcPr>
            <w:tcW w:w="1120" w:type="dxa"/>
            <w:tcBorders>
              <w:bottom w:val="nil"/>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Perenne</w:t>
            </w:r>
          </w:p>
        </w:tc>
        <w:tc>
          <w:tcPr>
            <w:tcW w:w="1134" w:type="dxa"/>
            <w:tcBorders>
              <w:bottom w:val="nil"/>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w:t>
            </w:r>
          </w:p>
        </w:tc>
        <w:tc>
          <w:tcPr>
            <w:tcW w:w="1276" w:type="dxa"/>
            <w:tcBorders>
              <w:bottom w:val="nil"/>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p>
        </w:tc>
        <w:tc>
          <w:tcPr>
            <w:tcW w:w="992" w:type="dxa"/>
            <w:tcBorders>
              <w:bottom w:val="nil"/>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992" w:type="dxa"/>
            <w:tcBorders>
              <w:bottom w:val="nil"/>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bottom w:val="nil"/>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   </w:t>
            </w:r>
          </w:p>
        </w:tc>
        <w:tc>
          <w:tcPr>
            <w:tcW w:w="1205" w:type="dxa"/>
            <w:tcBorders>
              <w:bottom w:val="nil"/>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p>
        </w:tc>
        <w:tc>
          <w:tcPr>
            <w:tcW w:w="1120"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Total</w:t>
            </w:r>
          </w:p>
        </w:tc>
        <w:tc>
          <w:tcPr>
            <w:tcW w:w="1134"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3,000 </w:t>
            </w:r>
          </w:p>
        </w:tc>
        <w:tc>
          <w:tcPr>
            <w:tcW w:w="1276" w:type="dxa"/>
            <w:tcBorders>
              <w:top w:val="nil"/>
              <w:bottom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100% </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294.7</w:t>
            </w:r>
          </w:p>
        </w:tc>
        <w:tc>
          <w:tcPr>
            <w:tcW w:w="992"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80.7</w:t>
            </w:r>
          </w:p>
        </w:tc>
        <w:tc>
          <w:tcPr>
            <w:tcW w:w="1560"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cs="Arial"/>
                <w:b/>
                <w:bCs/>
                <w:sz w:val="18"/>
                <w:szCs w:val="18"/>
              </w:rPr>
            </w:pPr>
            <w:r w:rsidRPr="00E2159F">
              <w:rPr>
                <w:rFonts w:cs="Arial"/>
                <w:b/>
                <w:bCs/>
                <w:sz w:val="18"/>
                <w:szCs w:val="18"/>
              </w:rPr>
              <w:t xml:space="preserve">     10.9 </w:t>
            </w:r>
          </w:p>
        </w:tc>
        <w:tc>
          <w:tcPr>
            <w:tcW w:w="1205" w:type="dxa"/>
            <w:tcBorders>
              <w:top w:val="nil"/>
              <w:bottom w:val="single" w:sz="8" w:space="0" w:color="008000"/>
            </w:tcBorders>
            <w:shd w:val="clear" w:color="auto" w:fill="auto"/>
          </w:tcPr>
          <w:p w:rsidR="006A2463" w:rsidRPr="00E2159F" w:rsidRDefault="006A2463" w:rsidP="005830CC">
            <w:pPr>
              <w:spacing w:before="0" w:after="0" w:line="240" w:lineRule="auto"/>
              <w:ind w:firstLine="0"/>
              <w:jc w:val="right"/>
              <w:rPr>
                <w:rFonts w:cs="Arial"/>
                <w:b/>
                <w:bCs/>
                <w:sz w:val="18"/>
                <w:szCs w:val="18"/>
              </w:rPr>
            </w:pPr>
            <w:r w:rsidRPr="00E2159F">
              <w:rPr>
                <w:rFonts w:cs="Arial"/>
                <w:b/>
                <w:bCs/>
                <w:sz w:val="18"/>
                <w:szCs w:val="18"/>
              </w:rPr>
              <w:t>19.7</w:t>
            </w:r>
          </w:p>
        </w:tc>
      </w:tr>
      <w:tr w:rsidR="006A2463" w:rsidRPr="00E2159F" w:rsidTr="002E4597">
        <w:trPr>
          <w:trHeight w:val="20"/>
          <w:jc w:val="center"/>
        </w:trPr>
        <w:tc>
          <w:tcPr>
            <w:tcW w:w="1171" w:type="dxa"/>
            <w:vMerge w:val="restart"/>
            <w:shd w:val="clear" w:color="auto" w:fill="auto"/>
            <w:noWrap/>
            <w:vAlign w:val="center"/>
            <w:hideMark/>
          </w:tcPr>
          <w:p w:rsidR="006A2463" w:rsidRPr="00E2159F" w:rsidRDefault="006A2463" w:rsidP="005830CC">
            <w:pPr>
              <w:spacing w:before="0" w:after="0" w:line="240" w:lineRule="auto"/>
              <w:ind w:firstLine="0"/>
              <w:jc w:val="center"/>
              <w:rPr>
                <w:rFonts w:eastAsia="Times New Roman" w:cs="Arial"/>
                <w:sz w:val="18"/>
                <w:szCs w:val="18"/>
              </w:rPr>
            </w:pPr>
            <w:r w:rsidRPr="00E2159F">
              <w:rPr>
                <w:rFonts w:eastAsia="Times New Roman" w:cs="Arial"/>
                <w:sz w:val="18"/>
                <w:szCs w:val="18"/>
              </w:rPr>
              <w:t>Total</w:t>
            </w:r>
          </w:p>
        </w:tc>
        <w:tc>
          <w:tcPr>
            <w:tcW w:w="1120"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Cíclico</w:t>
            </w:r>
          </w:p>
        </w:tc>
        <w:tc>
          <w:tcPr>
            <w:tcW w:w="1134"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29,964 </w:t>
            </w:r>
          </w:p>
        </w:tc>
        <w:tc>
          <w:tcPr>
            <w:tcW w:w="1276" w:type="dxa"/>
            <w:tcBorders>
              <w:top w:val="single" w:sz="8" w:space="0" w:color="008000"/>
            </w:tcBorders>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84%</w:t>
            </w: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992"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157.2 </w:t>
            </w:r>
          </w:p>
        </w:tc>
        <w:tc>
          <w:tcPr>
            <w:tcW w:w="1205" w:type="dxa"/>
            <w:tcBorders>
              <w:top w:val="single" w:sz="8" w:space="0" w:color="008000"/>
            </w:tcBorders>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hideMark/>
          </w:tcPr>
          <w:p w:rsidR="006A2463" w:rsidRPr="00E2159F" w:rsidRDefault="006A2463" w:rsidP="005830CC">
            <w:pPr>
              <w:spacing w:before="0" w:after="0"/>
              <w:jc w:val="left"/>
              <w:rPr>
                <w:rFonts w:eastAsia="Times New Roman" w:cs="Arial"/>
                <w:sz w:val="18"/>
                <w:szCs w:val="18"/>
              </w:rPr>
            </w:pPr>
          </w:p>
        </w:tc>
        <w:tc>
          <w:tcPr>
            <w:tcW w:w="1120" w:type="dxa"/>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Perenne</w:t>
            </w:r>
          </w:p>
        </w:tc>
        <w:tc>
          <w:tcPr>
            <w:tcW w:w="1134" w:type="dxa"/>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5,536 </w:t>
            </w:r>
          </w:p>
        </w:tc>
        <w:tc>
          <w:tcPr>
            <w:tcW w:w="1276" w:type="dxa"/>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16%</w:t>
            </w:r>
          </w:p>
        </w:tc>
        <w:tc>
          <w:tcPr>
            <w:tcW w:w="992" w:type="dxa"/>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992" w:type="dxa"/>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shd w:val="clear" w:color="auto" w:fill="auto"/>
          </w:tcPr>
          <w:p w:rsidR="006A2463" w:rsidRPr="00E2159F" w:rsidRDefault="006A2463" w:rsidP="005830CC">
            <w:pPr>
              <w:spacing w:before="0" w:after="0" w:line="240" w:lineRule="auto"/>
              <w:ind w:firstLine="0"/>
              <w:jc w:val="right"/>
              <w:rPr>
                <w:rFonts w:cs="Arial"/>
                <w:sz w:val="18"/>
                <w:szCs w:val="18"/>
              </w:rPr>
            </w:pPr>
            <w:r w:rsidRPr="00E2159F">
              <w:rPr>
                <w:rFonts w:cs="Arial"/>
                <w:sz w:val="18"/>
                <w:szCs w:val="18"/>
              </w:rPr>
              <w:t xml:space="preserve">   126.9 </w:t>
            </w:r>
          </w:p>
        </w:tc>
        <w:tc>
          <w:tcPr>
            <w:tcW w:w="1205" w:type="dxa"/>
            <w:shd w:val="clear" w:color="auto" w:fill="auto"/>
          </w:tcPr>
          <w:p w:rsidR="006A2463" w:rsidRPr="00E2159F" w:rsidRDefault="006A2463" w:rsidP="005830CC">
            <w:pPr>
              <w:spacing w:before="0" w:after="0" w:line="240" w:lineRule="auto"/>
              <w:ind w:firstLine="0"/>
              <w:jc w:val="right"/>
              <w:rPr>
                <w:rFonts w:cs="Arial"/>
                <w:sz w:val="18"/>
                <w:szCs w:val="18"/>
              </w:rPr>
            </w:pPr>
          </w:p>
        </w:tc>
      </w:tr>
      <w:tr w:rsidR="006A2463" w:rsidRPr="00E2159F" w:rsidTr="002E4597">
        <w:trPr>
          <w:trHeight w:val="20"/>
          <w:jc w:val="center"/>
        </w:trPr>
        <w:tc>
          <w:tcPr>
            <w:tcW w:w="1171" w:type="dxa"/>
            <w:vMerge/>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p>
        </w:tc>
        <w:tc>
          <w:tcPr>
            <w:tcW w:w="1120" w:type="dxa"/>
            <w:shd w:val="clear" w:color="auto" w:fill="auto"/>
            <w:noWrap/>
            <w:hideMark/>
          </w:tcPr>
          <w:p w:rsidR="006A2463" w:rsidRPr="00E2159F" w:rsidRDefault="006A2463" w:rsidP="005830CC">
            <w:pPr>
              <w:spacing w:before="0" w:after="0" w:line="240" w:lineRule="auto"/>
              <w:ind w:firstLine="0"/>
              <w:jc w:val="left"/>
              <w:rPr>
                <w:rFonts w:eastAsia="Times New Roman" w:cs="Arial"/>
                <w:sz w:val="18"/>
                <w:szCs w:val="18"/>
              </w:rPr>
            </w:pPr>
            <w:r w:rsidRPr="00E2159F">
              <w:rPr>
                <w:rFonts w:eastAsia="Times New Roman" w:cs="Arial"/>
                <w:sz w:val="18"/>
                <w:szCs w:val="18"/>
              </w:rPr>
              <w:t>Total</w:t>
            </w:r>
          </w:p>
        </w:tc>
        <w:tc>
          <w:tcPr>
            <w:tcW w:w="1134" w:type="dxa"/>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 xml:space="preserve">    32,500 </w:t>
            </w:r>
          </w:p>
        </w:tc>
        <w:tc>
          <w:tcPr>
            <w:tcW w:w="1276" w:type="dxa"/>
            <w:shd w:val="clear" w:color="auto" w:fill="auto"/>
            <w:noWrap/>
            <w:hideMark/>
          </w:tcPr>
          <w:p w:rsidR="006A2463" w:rsidRPr="00E2159F" w:rsidRDefault="006A2463" w:rsidP="005830CC">
            <w:pPr>
              <w:spacing w:before="0" w:after="0" w:line="240" w:lineRule="auto"/>
              <w:ind w:firstLine="0"/>
              <w:jc w:val="right"/>
              <w:rPr>
                <w:rFonts w:eastAsia="Times New Roman" w:cs="Arial"/>
                <w:sz w:val="18"/>
                <w:szCs w:val="18"/>
              </w:rPr>
            </w:pPr>
            <w:r w:rsidRPr="00E2159F">
              <w:rPr>
                <w:rFonts w:eastAsia="Times New Roman" w:cs="Arial"/>
                <w:sz w:val="18"/>
                <w:szCs w:val="18"/>
              </w:rPr>
              <w:t>100%</w:t>
            </w:r>
          </w:p>
        </w:tc>
        <w:tc>
          <w:tcPr>
            <w:tcW w:w="992" w:type="dxa"/>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992" w:type="dxa"/>
            <w:shd w:val="clear" w:color="auto" w:fill="auto"/>
          </w:tcPr>
          <w:p w:rsidR="006A2463" w:rsidRPr="00E2159F" w:rsidRDefault="006A2463" w:rsidP="005830CC">
            <w:pPr>
              <w:spacing w:before="0" w:after="0" w:line="240" w:lineRule="auto"/>
              <w:ind w:firstLine="0"/>
              <w:jc w:val="right"/>
              <w:rPr>
                <w:rFonts w:eastAsia="Times New Roman" w:cs="Arial"/>
                <w:sz w:val="18"/>
                <w:szCs w:val="18"/>
              </w:rPr>
            </w:pPr>
          </w:p>
        </w:tc>
        <w:tc>
          <w:tcPr>
            <w:tcW w:w="1560" w:type="dxa"/>
            <w:shd w:val="clear" w:color="auto" w:fill="auto"/>
          </w:tcPr>
          <w:p w:rsidR="006A2463" w:rsidRPr="00E2159F" w:rsidRDefault="006A2463" w:rsidP="005830CC">
            <w:pPr>
              <w:spacing w:before="0" w:after="0" w:line="240" w:lineRule="auto"/>
              <w:ind w:firstLine="0"/>
              <w:jc w:val="right"/>
              <w:rPr>
                <w:rFonts w:cs="Arial"/>
                <w:b/>
                <w:bCs/>
                <w:sz w:val="18"/>
                <w:szCs w:val="18"/>
              </w:rPr>
            </w:pPr>
            <w:r w:rsidRPr="00E2159F">
              <w:rPr>
                <w:rFonts w:cs="Arial"/>
                <w:b/>
                <w:bCs/>
                <w:sz w:val="18"/>
                <w:szCs w:val="18"/>
              </w:rPr>
              <w:t xml:space="preserve">   284.1 </w:t>
            </w:r>
          </w:p>
        </w:tc>
        <w:tc>
          <w:tcPr>
            <w:tcW w:w="1205" w:type="dxa"/>
            <w:shd w:val="clear" w:color="auto" w:fill="auto"/>
          </w:tcPr>
          <w:p w:rsidR="006A2463" w:rsidRPr="00E2159F" w:rsidRDefault="006A2463" w:rsidP="005830CC">
            <w:pPr>
              <w:spacing w:before="0" w:after="0" w:line="240" w:lineRule="auto"/>
              <w:ind w:firstLine="0"/>
              <w:jc w:val="right"/>
              <w:rPr>
                <w:rFonts w:cs="Arial"/>
                <w:b/>
                <w:bCs/>
                <w:sz w:val="18"/>
                <w:szCs w:val="18"/>
              </w:rPr>
            </w:pPr>
            <w:r w:rsidRPr="00E2159F">
              <w:rPr>
                <w:rFonts w:cs="Arial"/>
                <w:b/>
                <w:bCs/>
                <w:sz w:val="18"/>
                <w:szCs w:val="18"/>
              </w:rPr>
              <w:t>192.1</w:t>
            </w:r>
          </w:p>
        </w:tc>
      </w:tr>
    </w:tbl>
    <w:p w:rsidR="002E4597" w:rsidRDefault="002E4597" w:rsidP="007853CF">
      <w:pPr>
        <w:rPr>
          <w:noProof/>
          <w:lang w:eastAsia="es-MX"/>
        </w:rPr>
      </w:pPr>
    </w:p>
    <w:p w:rsidR="007853CF" w:rsidRDefault="000C1CA4" w:rsidP="007853CF">
      <w:pPr>
        <w:rPr>
          <w:noProof/>
          <w:lang w:eastAsia="es-MX"/>
        </w:rPr>
      </w:pPr>
      <w:r>
        <w:rPr>
          <w:noProof/>
          <w:lang w:eastAsia="es-MX"/>
        </w:rPr>
        <w:t>A partir de lo anterior, s</w:t>
      </w:r>
      <w:r w:rsidR="007853CF" w:rsidRPr="00F05CF7">
        <w:rPr>
          <w:noProof/>
          <w:lang w:eastAsia="es-MX"/>
        </w:rPr>
        <w:t>e estima que la demanda actual de aguas subterráneas es del orden de los 284.1</w:t>
      </w:r>
      <w:r w:rsidR="007853CF">
        <w:rPr>
          <w:noProof/>
          <w:lang w:eastAsia="es-MX"/>
        </w:rPr>
        <w:t xml:space="preserve"> Mm</w:t>
      </w:r>
      <w:r w:rsidR="007853CF">
        <w:rPr>
          <w:noProof/>
          <w:vertAlign w:val="superscript"/>
          <w:lang w:eastAsia="es-MX"/>
        </w:rPr>
        <w:t>3</w:t>
      </w:r>
      <w:r w:rsidR="007853CF" w:rsidRPr="00F05CF7">
        <w:rPr>
          <w:noProof/>
          <w:lang w:eastAsia="es-MX"/>
        </w:rPr>
        <w:t xml:space="preserve"> anuales, con una extracción de alrededor de 92.0 Mm</w:t>
      </w:r>
      <w:r w:rsidR="007853CF" w:rsidRPr="00F05CF7">
        <w:rPr>
          <w:noProof/>
          <w:vertAlign w:val="superscript"/>
          <w:lang w:eastAsia="es-MX"/>
        </w:rPr>
        <w:t>3</w:t>
      </w:r>
      <w:r w:rsidR="007853CF" w:rsidRPr="00F05CF7">
        <w:rPr>
          <w:noProof/>
          <w:lang w:eastAsia="es-MX"/>
        </w:rPr>
        <w:t xml:space="preserve"> superior al volumen concesionado, volumen que rebasa fácilmente los 59.8 Mm</w:t>
      </w:r>
      <w:r w:rsidR="007853CF" w:rsidRPr="00F05CF7">
        <w:rPr>
          <w:noProof/>
          <w:vertAlign w:val="superscript"/>
          <w:lang w:eastAsia="es-MX"/>
        </w:rPr>
        <w:t>3</w:t>
      </w:r>
      <w:r w:rsidR="007853CF" w:rsidRPr="00F05CF7">
        <w:rPr>
          <w:noProof/>
          <w:lang w:eastAsia="es-MX"/>
        </w:rPr>
        <w:t xml:space="preserve"> en que se estima la disponibilidad del agua</w:t>
      </w:r>
      <w:r w:rsidR="007853CF">
        <w:rPr>
          <w:noProof/>
          <w:lang w:eastAsia="es-MX"/>
        </w:rPr>
        <w:t xml:space="preserve"> subterránea. </w:t>
      </w:r>
      <w:r w:rsidR="006A2463">
        <w:rPr>
          <w:noProof/>
          <w:lang w:eastAsia="es-MX"/>
        </w:rPr>
        <w:t xml:space="preserve"> </w:t>
      </w:r>
      <w:r w:rsidR="007853CF">
        <w:rPr>
          <w:noProof/>
          <w:lang w:eastAsia="es-MX"/>
        </w:rPr>
        <w:t>Los estados de Puebla y Tlaxcala presentan extracciones estimadas que superan en 53 Mm</w:t>
      </w:r>
      <w:r w:rsidR="007853CF">
        <w:rPr>
          <w:noProof/>
          <w:vertAlign w:val="superscript"/>
          <w:lang w:eastAsia="es-MX"/>
        </w:rPr>
        <w:t>3</w:t>
      </w:r>
      <w:r w:rsidR="007853CF">
        <w:rPr>
          <w:noProof/>
          <w:lang w:eastAsia="es-MX"/>
        </w:rPr>
        <w:t xml:space="preserve"> anuales el volumen concesionado</w:t>
      </w:r>
      <w:r>
        <w:rPr>
          <w:noProof/>
          <w:lang w:eastAsia="es-MX"/>
        </w:rPr>
        <w:t xml:space="preserve">; </w:t>
      </w:r>
      <w:r w:rsidR="007853CF">
        <w:rPr>
          <w:noProof/>
          <w:lang w:eastAsia="es-MX"/>
        </w:rPr>
        <w:t>el estado de Veracruz presenta condiciones similares al concesionado.</w:t>
      </w:r>
    </w:p>
    <w:p w:rsidR="007853CF" w:rsidRDefault="007853CF" w:rsidP="007853CF">
      <w:pPr>
        <w:rPr>
          <w:noProof/>
          <w:lang w:eastAsia="es-MX"/>
        </w:rPr>
      </w:pPr>
      <w:r>
        <w:rPr>
          <w:noProof/>
          <w:lang w:eastAsia="es-MX"/>
        </w:rPr>
        <w:t>Las eficiencias de conducción, aplicación</w:t>
      </w:r>
      <w:r w:rsidR="006A2463">
        <w:rPr>
          <w:noProof/>
          <w:lang w:eastAsia="es-MX"/>
        </w:rPr>
        <w:t xml:space="preserve">, </w:t>
      </w:r>
      <w:r>
        <w:rPr>
          <w:noProof/>
          <w:lang w:eastAsia="es-MX"/>
        </w:rPr>
        <w:t>total actuales y las factibles de obtener en el mediano plazo (5-10 años) y largo plazo (más de 10 años) considerando inversiones para alcanzar y mantener un 81% de eficiencia total en todo el acuífero</w:t>
      </w:r>
      <w:r w:rsidR="006A2463">
        <w:rPr>
          <w:noProof/>
          <w:lang w:eastAsia="es-MX"/>
        </w:rPr>
        <w:t xml:space="preserve"> (</w:t>
      </w:r>
      <w:r w:rsidR="00BE2961">
        <w:rPr>
          <w:noProof/>
          <w:lang w:eastAsia="es-MX"/>
        </w:rPr>
        <w:fldChar w:fldCharType="begin"/>
      </w:r>
      <w:r>
        <w:rPr>
          <w:noProof/>
          <w:lang w:eastAsia="es-MX"/>
        </w:rPr>
        <w:instrText xml:space="preserve"> REF _Ref251667414 \r \h </w:instrText>
      </w:r>
      <w:r w:rsidR="00BE2961">
        <w:rPr>
          <w:noProof/>
          <w:lang w:eastAsia="es-MX"/>
        </w:rPr>
      </w:r>
      <w:r w:rsidR="00BE2961">
        <w:rPr>
          <w:noProof/>
          <w:lang w:eastAsia="es-MX"/>
        </w:rPr>
        <w:fldChar w:fldCharType="separate"/>
      </w:r>
      <w:r w:rsidR="001C36B4">
        <w:rPr>
          <w:noProof/>
          <w:lang w:eastAsia="es-MX"/>
        </w:rPr>
        <w:t>0</w:t>
      </w:r>
      <w:r w:rsidR="00BE2961">
        <w:rPr>
          <w:noProof/>
          <w:lang w:eastAsia="es-MX"/>
        </w:rPr>
        <w:fldChar w:fldCharType="end"/>
      </w:r>
      <w:r w:rsidR="006A2463">
        <w:rPr>
          <w:noProof/>
          <w:lang w:eastAsia="es-MX"/>
        </w:rPr>
        <w:t>)</w:t>
      </w:r>
      <w:r>
        <w:rPr>
          <w:noProof/>
          <w:lang w:eastAsia="es-MX"/>
        </w:rPr>
        <w:t>.</w:t>
      </w:r>
    </w:p>
    <w:p w:rsidR="007853CF" w:rsidRDefault="006A2463" w:rsidP="007853CF">
      <w:pPr>
        <w:rPr>
          <w:noProof/>
          <w:lang w:eastAsia="es-MX"/>
        </w:rPr>
      </w:pPr>
      <w:r>
        <w:rPr>
          <w:noProof/>
          <w:lang w:eastAsia="es-MX"/>
        </w:rPr>
        <w:t>U</w:t>
      </w:r>
      <w:r w:rsidR="007853CF">
        <w:rPr>
          <w:noProof/>
          <w:lang w:eastAsia="es-MX"/>
        </w:rPr>
        <w:t>na parte importante de recarga del acuífero proviene de los volúmenes utilizados en exceso por el riego, situación que deberá tomarse en cuenta en la actualización de los balances geohidrológicos futuros.</w:t>
      </w:r>
    </w:p>
    <w:p w:rsidR="002E4597" w:rsidRDefault="002E4597">
      <w:pPr>
        <w:spacing w:before="0" w:after="0" w:line="240" w:lineRule="auto"/>
        <w:ind w:firstLine="0"/>
        <w:jc w:val="left"/>
        <w:rPr>
          <w:i/>
          <w:color w:val="214F75"/>
        </w:rPr>
      </w:pPr>
      <w:bookmarkStart w:id="171" w:name="_Ref251667414"/>
      <w:bookmarkStart w:id="172" w:name="_Toc262468566"/>
      <w:r>
        <w:br w:type="page"/>
      </w:r>
    </w:p>
    <w:p w:rsidR="007853CF" w:rsidRDefault="007853CF" w:rsidP="001527C0">
      <w:pPr>
        <w:pStyle w:val="Tabla1cap6"/>
      </w:pPr>
      <w:r w:rsidRPr="000D19B1">
        <w:lastRenderedPageBreak/>
        <w:t>Eficiencias de conducción, aplicación y total actuales y las propuestas a alcanzar en el mediano y largo plazo</w:t>
      </w:r>
      <w:bookmarkEnd w:id="171"/>
      <w:bookmarkEnd w:id="172"/>
    </w:p>
    <w:tbl>
      <w:tblPr>
        <w:tblW w:w="10036" w:type="dxa"/>
        <w:jc w:val="center"/>
        <w:tblBorders>
          <w:top w:val="single" w:sz="12" w:space="0" w:color="008000"/>
          <w:bottom w:val="single" w:sz="12" w:space="0" w:color="008000"/>
        </w:tblBorders>
        <w:tblLayout w:type="fixed"/>
        <w:tblLook w:val="04A0"/>
      </w:tblPr>
      <w:tblGrid>
        <w:gridCol w:w="1162"/>
        <w:gridCol w:w="1208"/>
        <w:gridCol w:w="1072"/>
        <w:gridCol w:w="634"/>
        <w:gridCol w:w="1267"/>
        <w:gridCol w:w="73"/>
        <w:gridCol w:w="1072"/>
        <w:gridCol w:w="634"/>
        <w:gridCol w:w="1208"/>
        <w:gridCol w:w="1072"/>
        <w:gridCol w:w="634"/>
      </w:tblGrid>
      <w:tr w:rsidR="005426F7" w:rsidRPr="002E4597" w:rsidTr="005426F7">
        <w:trPr>
          <w:trHeight w:val="293"/>
          <w:jc w:val="center"/>
        </w:trPr>
        <w:tc>
          <w:tcPr>
            <w:tcW w:w="1162" w:type="dxa"/>
            <w:vMerge w:val="restart"/>
            <w:tcBorders>
              <w:top w:val="single" w:sz="12" w:space="0" w:color="008000"/>
              <w:bottom w:val="single" w:sz="6" w:space="0" w:color="008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Escenario/</w:t>
            </w:r>
            <w:r w:rsidR="004B364E" w:rsidRPr="002E4597">
              <w:rPr>
                <w:rFonts w:cs="Arial"/>
                <w:color w:val="000000"/>
                <w:sz w:val="20"/>
              </w:rPr>
              <w:t xml:space="preserve"> </w:t>
            </w:r>
            <w:r w:rsidRPr="002E4597">
              <w:rPr>
                <w:rFonts w:cs="Arial"/>
                <w:color w:val="000000"/>
                <w:sz w:val="20"/>
              </w:rPr>
              <w:t>Estado</w:t>
            </w:r>
          </w:p>
          <w:p w:rsidR="006A2463" w:rsidRPr="002E4597" w:rsidRDefault="006A2463" w:rsidP="002E4597">
            <w:pPr>
              <w:spacing w:before="0" w:after="0" w:line="240" w:lineRule="auto"/>
              <w:ind w:firstLine="0"/>
              <w:jc w:val="center"/>
              <w:rPr>
                <w:rFonts w:cs="Arial"/>
                <w:color w:val="000000"/>
                <w:sz w:val="20"/>
              </w:rPr>
            </w:pPr>
          </w:p>
        </w:tc>
        <w:tc>
          <w:tcPr>
            <w:tcW w:w="2914" w:type="dxa"/>
            <w:gridSpan w:val="3"/>
            <w:tcBorders>
              <w:top w:val="single" w:sz="12" w:space="0" w:color="008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Eficiencia (%)</w:t>
            </w:r>
          </w:p>
        </w:tc>
        <w:tc>
          <w:tcPr>
            <w:tcW w:w="3046" w:type="dxa"/>
            <w:gridSpan w:val="4"/>
            <w:tcBorders>
              <w:top w:val="single" w:sz="12" w:space="0" w:color="008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Eficiencia (%)</w:t>
            </w:r>
          </w:p>
        </w:tc>
        <w:tc>
          <w:tcPr>
            <w:tcW w:w="2914" w:type="dxa"/>
            <w:gridSpan w:val="3"/>
            <w:tcBorders>
              <w:top w:val="single" w:sz="12" w:space="0" w:color="008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Eficiencia (%)</w:t>
            </w:r>
          </w:p>
        </w:tc>
      </w:tr>
      <w:tr w:rsidR="005426F7" w:rsidRPr="002E4597" w:rsidTr="005426F7">
        <w:trPr>
          <w:trHeight w:val="331"/>
          <w:jc w:val="center"/>
        </w:trPr>
        <w:tc>
          <w:tcPr>
            <w:tcW w:w="1162" w:type="dxa"/>
            <w:vMerge/>
            <w:shd w:val="clear" w:color="auto" w:fill="auto"/>
          </w:tcPr>
          <w:p w:rsidR="006A2463" w:rsidRPr="002E4597" w:rsidRDefault="006A2463" w:rsidP="002E4597">
            <w:pPr>
              <w:spacing w:before="0" w:after="0" w:line="240" w:lineRule="auto"/>
              <w:ind w:firstLine="0"/>
              <w:jc w:val="center"/>
              <w:rPr>
                <w:rFonts w:cs="Arial"/>
                <w:color w:val="000000"/>
                <w:sz w:val="20"/>
              </w:rPr>
            </w:pPr>
          </w:p>
        </w:tc>
        <w:tc>
          <w:tcPr>
            <w:tcW w:w="1208"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Conducción</w:t>
            </w:r>
          </w:p>
        </w:tc>
        <w:tc>
          <w:tcPr>
            <w:tcW w:w="1072"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Aplicación</w:t>
            </w:r>
          </w:p>
        </w:tc>
        <w:tc>
          <w:tcPr>
            <w:tcW w:w="634"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Total</w:t>
            </w:r>
          </w:p>
        </w:tc>
        <w:tc>
          <w:tcPr>
            <w:tcW w:w="1267"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Conducción</w:t>
            </w:r>
          </w:p>
        </w:tc>
        <w:tc>
          <w:tcPr>
            <w:tcW w:w="1145" w:type="dxa"/>
            <w:gridSpan w:val="2"/>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Aplicación</w:t>
            </w:r>
          </w:p>
        </w:tc>
        <w:tc>
          <w:tcPr>
            <w:tcW w:w="634"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Total</w:t>
            </w:r>
          </w:p>
        </w:tc>
        <w:tc>
          <w:tcPr>
            <w:tcW w:w="1208"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Conducción</w:t>
            </w:r>
          </w:p>
        </w:tc>
        <w:tc>
          <w:tcPr>
            <w:tcW w:w="1072"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Aplicación</w:t>
            </w:r>
          </w:p>
        </w:tc>
        <w:tc>
          <w:tcPr>
            <w:tcW w:w="634" w:type="dxa"/>
            <w:tcBorders>
              <w:top w:val="single" w:sz="4" w:space="0" w:color="000000"/>
              <w:bottom w:val="single" w:sz="4" w:space="0" w:color="000000"/>
            </w:tcBorders>
            <w:shd w:val="clear" w:color="auto" w:fill="auto"/>
          </w:tcPr>
          <w:p w:rsidR="006A2463" w:rsidRPr="002E4597" w:rsidRDefault="006A2463" w:rsidP="002E4597">
            <w:pPr>
              <w:spacing w:before="0" w:after="0" w:line="240" w:lineRule="auto"/>
              <w:ind w:firstLine="0"/>
              <w:jc w:val="center"/>
              <w:rPr>
                <w:rFonts w:cs="Arial"/>
                <w:color w:val="000000"/>
                <w:sz w:val="20"/>
              </w:rPr>
            </w:pPr>
            <w:r w:rsidRPr="002E4597">
              <w:rPr>
                <w:rFonts w:cs="Arial"/>
                <w:color w:val="000000"/>
                <w:sz w:val="20"/>
              </w:rPr>
              <w:t>Total</w:t>
            </w:r>
          </w:p>
        </w:tc>
      </w:tr>
      <w:tr w:rsidR="005426F7" w:rsidRPr="002E4597" w:rsidTr="005426F7">
        <w:trPr>
          <w:trHeight w:val="292"/>
          <w:jc w:val="center"/>
        </w:trPr>
        <w:tc>
          <w:tcPr>
            <w:tcW w:w="1162" w:type="dxa"/>
            <w:tcBorders>
              <w:bottom w:val="single" w:sz="4" w:space="0" w:color="000000"/>
            </w:tcBorders>
            <w:shd w:val="clear" w:color="auto" w:fill="auto"/>
          </w:tcPr>
          <w:p w:rsidR="004B364E" w:rsidRPr="002E4597" w:rsidRDefault="004B364E" w:rsidP="002E4597">
            <w:pPr>
              <w:spacing w:before="0" w:after="0" w:line="240" w:lineRule="auto"/>
              <w:ind w:firstLine="0"/>
              <w:jc w:val="center"/>
              <w:rPr>
                <w:rFonts w:cs="Arial"/>
                <w:color w:val="000000"/>
                <w:sz w:val="20"/>
              </w:rPr>
            </w:pPr>
          </w:p>
        </w:tc>
        <w:tc>
          <w:tcPr>
            <w:tcW w:w="2914" w:type="dxa"/>
            <w:gridSpan w:val="3"/>
            <w:tcBorders>
              <w:top w:val="single" w:sz="4" w:space="0" w:color="000000"/>
              <w:bottom w:val="single" w:sz="4" w:space="0" w:color="000000"/>
            </w:tcBorders>
            <w:shd w:val="clear" w:color="auto" w:fill="auto"/>
          </w:tcPr>
          <w:p w:rsidR="004B364E" w:rsidRPr="002E4597" w:rsidRDefault="004B364E" w:rsidP="002E4597">
            <w:pPr>
              <w:spacing w:before="0" w:after="0" w:line="240" w:lineRule="auto"/>
              <w:ind w:firstLine="0"/>
              <w:jc w:val="center"/>
              <w:rPr>
                <w:rFonts w:cs="Arial"/>
                <w:color w:val="000000"/>
                <w:sz w:val="20"/>
              </w:rPr>
            </w:pPr>
            <w:r w:rsidRPr="002E4597">
              <w:rPr>
                <w:rFonts w:cs="Arial"/>
                <w:color w:val="000000"/>
                <w:sz w:val="20"/>
              </w:rPr>
              <w:t>Corto Plazo</w:t>
            </w:r>
          </w:p>
        </w:tc>
        <w:tc>
          <w:tcPr>
            <w:tcW w:w="3046" w:type="dxa"/>
            <w:gridSpan w:val="4"/>
            <w:tcBorders>
              <w:top w:val="single" w:sz="4" w:space="0" w:color="000000"/>
              <w:bottom w:val="single" w:sz="4" w:space="0" w:color="000000"/>
            </w:tcBorders>
            <w:shd w:val="clear" w:color="auto" w:fill="auto"/>
          </w:tcPr>
          <w:p w:rsidR="004B364E" w:rsidRPr="002E4597" w:rsidRDefault="004B364E" w:rsidP="002E4597">
            <w:pPr>
              <w:spacing w:before="0" w:after="0" w:line="240" w:lineRule="auto"/>
              <w:ind w:firstLine="0"/>
              <w:jc w:val="center"/>
              <w:rPr>
                <w:rFonts w:cs="Arial"/>
                <w:color w:val="000000"/>
                <w:sz w:val="20"/>
              </w:rPr>
            </w:pPr>
            <w:r w:rsidRPr="002E4597">
              <w:rPr>
                <w:rFonts w:cs="Arial"/>
                <w:color w:val="000000"/>
                <w:sz w:val="20"/>
              </w:rPr>
              <w:t>Mediano Plazo</w:t>
            </w:r>
          </w:p>
        </w:tc>
        <w:tc>
          <w:tcPr>
            <w:tcW w:w="2914" w:type="dxa"/>
            <w:gridSpan w:val="3"/>
            <w:tcBorders>
              <w:top w:val="single" w:sz="4" w:space="0" w:color="000000"/>
              <w:bottom w:val="single" w:sz="4" w:space="0" w:color="000000"/>
            </w:tcBorders>
            <w:shd w:val="clear" w:color="auto" w:fill="auto"/>
          </w:tcPr>
          <w:p w:rsidR="004B364E" w:rsidRPr="002E4597" w:rsidRDefault="004B364E" w:rsidP="002E4597">
            <w:pPr>
              <w:spacing w:before="0" w:after="0" w:line="240" w:lineRule="auto"/>
              <w:ind w:firstLine="0"/>
              <w:jc w:val="center"/>
              <w:rPr>
                <w:rFonts w:cs="Arial"/>
                <w:color w:val="000000"/>
                <w:sz w:val="20"/>
              </w:rPr>
            </w:pPr>
            <w:r w:rsidRPr="002E4597">
              <w:rPr>
                <w:rFonts w:cs="Arial"/>
                <w:color w:val="000000"/>
                <w:sz w:val="20"/>
              </w:rPr>
              <w:t>Largo Plazo</w:t>
            </w:r>
          </w:p>
        </w:tc>
      </w:tr>
      <w:tr w:rsidR="005426F7" w:rsidRPr="002E4597" w:rsidTr="005426F7">
        <w:trPr>
          <w:jc w:val="center"/>
        </w:trPr>
        <w:tc>
          <w:tcPr>
            <w:tcW w:w="1162" w:type="dxa"/>
            <w:tcBorders>
              <w:top w:val="single" w:sz="4" w:space="0" w:color="000000"/>
            </w:tcBorders>
            <w:shd w:val="clear" w:color="auto" w:fill="auto"/>
          </w:tcPr>
          <w:p w:rsidR="004B364E" w:rsidRPr="002E4597" w:rsidRDefault="004B364E" w:rsidP="002E4597">
            <w:pPr>
              <w:spacing w:before="0" w:after="0" w:line="240" w:lineRule="auto"/>
              <w:ind w:firstLine="0"/>
              <w:rPr>
                <w:rFonts w:cs="Arial"/>
                <w:sz w:val="20"/>
              </w:rPr>
            </w:pPr>
            <w:r w:rsidRPr="002E4597">
              <w:rPr>
                <w:rFonts w:cs="Arial"/>
                <w:sz w:val="20"/>
              </w:rPr>
              <w:t>Puebla</w:t>
            </w:r>
          </w:p>
        </w:tc>
        <w:tc>
          <w:tcPr>
            <w:tcW w:w="1208"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sz w:val="20"/>
              </w:rPr>
            </w:pPr>
            <w:r w:rsidRPr="002E4597">
              <w:rPr>
                <w:sz w:val="20"/>
              </w:rPr>
              <w:t>65</w:t>
            </w:r>
          </w:p>
        </w:tc>
        <w:tc>
          <w:tcPr>
            <w:tcW w:w="1072"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sz w:val="20"/>
              </w:rPr>
            </w:pPr>
            <w:r w:rsidRPr="002E4597">
              <w:rPr>
                <w:sz w:val="20"/>
              </w:rPr>
              <w:t>65</w:t>
            </w:r>
          </w:p>
        </w:tc>
        <w:tc>
          <w:tcPr>
            <w:tcW w:w="634"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sz w:val="20"/>
              </w:rPr>
            </w:pPr>
            <w:r w:rsidRPr="002E4597">
              <w:rPr>
                <w:sz w:val="20"/>
              </w:rPr>
              <w:t>42</w:t>
            </w:r>
          </w:p>
        </w:tc>
        <w:tc>
          <w:tcPr>
            <w:tcW w:w="1340" w:type="dxa"/>
            <w:gridSpan w:val="2"/>
            <w:tcBorders>
              <w:top w:val="single" w:sz="4" w:space="0" w:color="000000"/>
            </w:tcBorders>
            <w:shd w:val="clear" w:color="auto" w:fill="auto"/>
          </w:tcPr>
          <w:p w:rsidR="004B364E" w:rsidRPr="002E4597" w:rsidRDefault="004B364E" w:rsidP="002E4597">
            <w:pPr>
              <w:spacing w:before="0" w:after="0" w:line="240" w:lineRule="auto"/>
              <w:ind w:firstLine="0"/>
              <w:jc w:val="center"/>
              <w:rPr>
                <w:sz w:val="20"/>
              </w:rPr>
            </w:pPr>
            <w:r w:rsidRPr="002E4597">
              <w:rPr>
                <w:sz w:val="20"/>
              </w:rPr>
              <w:t>75</w:t>
            </w:r>
          </w:p>
        </w:tc>
        <w:tc>
          <w:tcPr>
            <w:tcW w:w="1072"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sz w:val="20"/>
              </w:rPr>
            </w:pPr>
            <w:r w:rsidRPr="002E4597">
              <w:rPr>
                <w:sz w:val="20"/>
              </w:rPr>
              <w:t>70</w:t>
            </w:r>
          </w:p>
        </w:tc>
        <w:tc>
          <w:tcPr>
            <w:tcW w:w="634"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sz w:val="20"/>
              </w:rPr>
            </w:pPr>
            <w:r w:rsidRPr="002E4597">
              <w:rPr>
                <w:sz w:val="20"/>
              </w:rPr>
              <w:t>52</w:t>
            </w:r>
          </w:p>
        </w:tc>
        <w:tc>
          <w:tcPr>
            <w:tcW w:w="1208"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95</w:t>
            </w:r>
          </w:p>
        </w:tc>
        <w:tc>
          <w:tcPr>
            <w:tcW w:w="1072"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85</w:t>
            </w:r>
          </w:p>
        </w:tc>
        <w:tc>
          <w:tcPr>
            <w:tcW w:w="634" w:type="dxa"/>
            <w:tcBorders>
              <w:top w:val="single" w:sz="4" w:space="0" w:color="000000"/>
            </w:tcBorders>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81</w:t>
            </w:r>
          </w:p>
        </w:tc>
      </w:tr>
      <w:tr w:rsidR="005426F7" w:rsidRPr="002E4597" w:rsidTr="005426F7">
        <w:trPr>
          <w:jc w:val="center"/>
        </w:trPr>
        <w:tc>
          <w:tcPr>
            <w:tcW w:w="1162" w:type="dxa"/>
            <w:shd w:val="clear" w:color="auto" w:fill="auto"/>
          </w:tcPr>
          <w:p w:rsidR="004B364E" w:rsidRPr="002E4597" w:rsidRDefault="004B364E" w:rsidP="002E4597">
            <w:pPr>
              <w:spacing w:before="0" w:after="0" w:line="240" w:lineRule="auto"/>
              <w:ind w:firstLine="0"/>
              <w:rPr>
                <w:rFonts w:cs="Arial"/>
                <w:sz w:val="20"/>
              </w:rPr>
            </w:pPr>
            <w:r w:rsidRPr="002E4597">
              <w:rPr>
                <w:rFonts w:cs="Arial"/>
                <w:sz w:val="20"/>
              </w:rPr>
              <w:t>Tlaxcala</w:t>
            </w:r>
          </w:p>
        </w:tc>
        <w:tc>
          <w:tcPr>
            <w:tcW w:w="1208" w:type="dxa"/>
            <w:shd w:val="clear" w:color="auto" w:fill="auto"/>
          </w:tcPr>
          <w:p w:rsidR="004B364E" w:rsidRPr="002E4597" w:rsidRDefault="004B364E" w:rsidP="002E4597">
            <w:pPr>
              <w:spacing w:before="0" w:after="0" w:line="240" w:lineRule="auto"/>
              <w:ind w:firstLine="0"/>
              <w:jc w:val="center"/>
              <w:rPr>
                <w:sz w:val="20"/>
              </w:rPr>
            </w:pPr>
            <w:r w:rsidRPr="002E4597">
              <w:rPr>
                <w:sz w:val="20"/>
              </w:rPr>
              <w:t>65</w:t>
            </w:r>
          </w:p>
        </w:tc>
        <w:tc>
          <w:tcPr>
            <w:tcW w:w="1072" w:type="dxa"/>
            <w:shd w:val="clear" w:color="auto" w:fill="auto"/>
          </w:tcPr>
          <w:p w:rsidR="004B364E" w:rsidRPr="002E4597" w:rsidRDefault="004B364E" w:rsidP="002E4597">
            <w:pPr>
              <w:spacing w:before="0" w:after="0" w:line="240" w:lineRule="auto"/>
              <w:ind w:firstLine="0"/>
              <w:jc w:val="center"/>
              <w:rPr>
                <w:sz w:val="20"/>
              </w:rPr>
            </w:pPr>
            <w:r w:rsidRPr="002E4597">
              <w:rPr>
                <w:sz w:val="20"/>
              </w:rPr>
              <w:t>60</w:t>
            </w:r>
          </w:p>
        </w:tc>
        <w:tc>
          <w:tcPr>
            <w:tcW w:w="634" w:type="dxa"/>
            <w:shd w:val="clear" w:color="auto" w:fill="auto"/>
          </w:tcPr>
          <w:p w:rsidR="004B364E" w:rsidRPr="002E4597" w:rsidRDefault="004B364E" w:rsidP="002E4597">
            <w:pPr>
              <w:spacing w:before="0" w:after="0" w:line="240" w:lineRule="auto"/>
              <w:ind w:firstLine="0"/>
              <w:jc w:val="center"/>
              <w:rPr>
                <w:sz w:val="20"/>
              </w:rPr>
            </w:pPr>
            <w:r w:rsidRPr="002E4597">
              <w:rPr>
                <w:sz w:val="20"/>
              </w:rPr>
              <w:t>39</w:t>
            </w:r>
          </w:p>
        </w:tc>
        <w:tc>
          <w:tcPr>
            <w:tcW w:w="1340" w:type="dxa"/>
            <w:gridSpan w:val="2"/>
            <w:shd w:val="clear" w:color="auto" w:fill="auto"/>
          </w:tcPr>
          <w:p w:rsidR="004B364E" w:rsidRPr="002E4597" w:rsidRDefault="004B364E" w:rsidP="002E4597">
            <w:pPr>
              <w:spacing w:before="0" w:after="0" w:line="240" w:lineRule="auto"/>
              <w:ind w:firstLine="0"/>
              <w:jc w:val="center"/>
              <w:rPr>
                <w:sz w:val="20"/>
              </w:rPr>
            </w:pPr>
            <w:r w:rsidRPr="002E4597">
              <w:rPr>
                <w:sz w:val="20"/>
              </w:rPr>
              <w:t>75</w:t>
            </w:r>
          </w:p>
        </w:tc>
        <w:tc>
          <w:tcPr>
            <w:tcW w:w="1072" w:type="dxa"/>
            <w:shd w:val="clear" w:color="auto" w:fill="auto"/>
          </w:tcPr>
          <w:p w:rsidR="004B364E" w:rsidRPr="002E4597" w:rsidRDefault="004B364E" w:rsidP="002E4597">
            <w:pPr>
              <w:spacing w:before="0" w:after="0" w:line="240" w:lineRule="auto"/>
              <w:ind w:firstLine="0"/>
              <w:jc w:val="center"/>
              <w:rPr>
                <w:sz w:val="20"/>
              </w:rPr>
            </w:pPr>
            <w:r w:rsidRPr="002E4597">
              <w:rPr>
                <w:sz w:val="20"/>
              </w:rPr>
              <w:t>65</w:t>
            </w:r>
          </w:p>
        </w:tc>
        <w:tc>
          <w:tcPr>
            <w:tcW w:w="634" w:type="dxa"/>
            <w:shd w:val="clear" w:color="auto" w:fill="auto"/>
          </w:tcPr>
          <w:p w:rsidR="004B364E" w:rsidRPr="002E4597" w:rsidRDefault="004B364E" w:rsidP="002E4597">
            <w:pPr>
              <w:spacing w:before="0" w:after="0" w:line="240" w:lineRule="auto"/>
              <w:ind w:firstLine="0"/>
              <w:jc w:val="center"/>
              <w:rPr>
                <w:sz w:val="20"/>
              </w:rPr>
            </w:pPr>
            <w:r w:rsidRPr="002E4597">
              <w:rPr>
                <w:sz w:val="20"/>
              </w:rPr>
              <w:t>48</w:t>
            </w:r>
          </w:p>
        </w:tc>
        <w:tc>
          <w:tcPr>
            <w:tcW w:w="1208" w:type="dxa"/>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95</w:t>
            </w:r>
          </w:p>
        </w:tc>
        <w:tc>
          <w:tcPr>
            <w:tcW w:w="1072" w:type="dxa"/>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85</w:t>
            </w:r>
          </w:p>
        </w:tc>
        <w:tc>
          <w:tcPr>
            <w:tcW w:w="634" w:type="dxa"/>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81</w:t>
            </w:r>
          </w:p>
        </w:tc>
      </w:tr>
      <w:tr w:rsidR="005426F7" w:rsidRPr="002E4597" w:rsidTr="005426F7">
        <w:trPr>
          <w:jc w:val="center"/>
        </w:trPr>
        <w:tc>
          <w:tcPr>
            <w:tcW w:w="1162" w:type="dxa"/>
            <w:shd w:val="clear" w:color="auto" w:fill="auto"/>
          </w:tcPr>
          <w:p w:rsidR="004B364E" w:rsidRPr="002E4597" w:rsidRDefault="004B364E" w:rsidP="002E4597">
            <w:pPr>
              <w:spacing w:before="0" w:after="0" w:line="240" w:lineRule="auto"/>
              <w:ind w:firstLine="0"/>
              <w:jc w:val="left"/>
              <w:rPr>
                <w:rFonts w:eastAsia="Times New Roman" w:cs="Arial"/>
                <w:sz w:val="20"/>
                <w:lang w:val="en-US"/>
              </w:rPr>
            </w:pPr>
            <w:r w:rsidRPr="002E4597">
              <w:rPr>
                <w:rFonts w:eastAsia="Times New Roman" w:cs="Arial"/>
                <w:sz w:val="20"/>
                <w:lang w:val="en-US"/>
              </w:rPr>
              <w:t>Veracruz</w:t>
            </w:r>
          </w:p>
        </w:tc>
        <w:tc>
          <w:tcPr>
            <w:tcW w:w="1208" w:type="dxa"/>
            <w:shd w:val="clear" w:color="auto" w:fill="auto"/>
          </w:tcPr>
          <w:p w:rsidR="004B364E" w:rsidRPr="002E4597" w:rsidRDefault="004B364E" w:rsidP="002E4597">
            <w:pPr>
              <w:spacing w:before="0" w:after="0" w:line="240" w:lineRule="auto"/>
              <w:ind w:firstLine="0"/>
              <w:jc w:val="center"/>
              <w:rPr>
                <w:sz w:val="20"/>
              </w:rPr>
            </w:pPr>
            <w:r w:rsidRPr="002E4597">
              <w:rPr>
                <w:sz w:val="20"/>
              </w:rPr>
              <w:t>95</w:t>
            </w:r>
          </w:p>
        </w:tc>
        <w:tc>
          <w:tcPr>
            <w:tcW w:w="1072" w:type="dxa"/>
            <w:shd w:val="clear" w:color="auto" w:fill="auto"/>
          </w:tcPr>
          <w:p w:rsidR="004B364E" w:rsidRPr="002E4597" w:rsidRDefault="004B364E" w:rsidP="002E4597">
            <w:pPr>
              <w:spacing w:before="0" w:after="0" w:line="240" w:lineRule="auto"/>
              <w:ind w:firstLine="0"/>
              <w:jc w:val="center"/>
              <w:rPr>
                <w:sz w:val="20"/>
              </w:rPr>
            </w:pPr>
            <w:r w:rsidRPr="002E4597">
              <w:rPr>
                <w:sz w:val="20"/>
              </w:rPr>
              <w:t>85</w:t>
            </w:r>
          </w:p>
        </w:tc>
        <w:tc>
          <w:tcPr>
            <w:tcW w:w="634" w:type="dxa"/>
            <w:shd w:val="clear" w:color="auto" w:fill="auto"/>
          </w:tcPr>
          <w:p w:rsidR="004B364E" w:rsidRPr="002E4597" w:rsidRDefault="004B364E" w:rsidP="002E4597">
            <w:pPr>
              <w:spacing w:before="0" w:after="0" w:line="240" w:lineRule="auto"/>
              <w:ind w:firstLine="0"/>
              <w:jc w:val="center"/>
              <w:rPr>
                <w:sz w:val="20"/>
              </w:rPr>
            </w:pPr>
            <w:r w:rsidRPr="002E4597">
              <w:rPr>
                <w:sz w:val="20"/>
              </w:rPr>
              <w:t>81</w:t>
            </w:r>
          </w:p>
        </w:tc>
        <w:tc>
          <w:tcPr>
            <w:tcW w:w="1340" w:type="dxa"/>
            <w:gridSpan w:val="2"/>
            <w:shd w:val="clear" w:color="auto" w:fill="auto"/>
          </w:tcPr>
          <w:p w:rsidR="004B364E" w:rsidRPr="002E4597" w:rsidRDefault="004B364E" w:rsidP="002E4597">
            <w:pPr>
              <w:spacing w:before="0" w:after="0" w:line="240" w:lineRule="auto"/>
              <w:ind w:firstLine="0"/>
              <w:jc w:val="center"/>
              <w:rPr>
                <w:sz w:val="20"/>
              </w:rPr>
            </w:pPr>
            <w:r w:rsidRPr="002E4597">
              <w:rPr>
                <w:sz w:val="20"/>
              </w:rPr>
              <w:t>95</w:t>
            </w:r>
          </w:p>
        </w:tc>
        <w:tc>
          <w:tcPr>
            <w:tcW w:w="1072" w:type="dxa"/>
            <w:shd w:val="clear" w:color="auto" w:fill="auto"/>
          </w:tcPr>
          <w:p w:rsidR="004B364E" w:rsidRPr="002E4597" w:rsidRDefault="004B364E" w:rsidP="002E4597">
            <w:pPr>
              <w:spacing w:before="0" w:after="0" w:line="240" w:lineRule="auto"/>
              <w:ind w:firstLine="0"/>
              <w:jc w:val="center"/>
              <w:rPr>
                <w:sz w:val="20"/>
              </w:rPr>
            </w:pPr>
            <w:r w:rsidRPr="002E4597">
              <w:rPr>
                <w:sz w:val="20"/>
              </w:rPr>
              <w:t>85</w:t>
            </w:r>
          </w:p>
        </w:tc>
        <w:tc>
          <w:tcPr>
            <w:tcW w:w="634" w:type="dxa"/>
            <w:shd w:val="clear" w:color="auto" w:fill="auto"/>
          </w:tcPr>
          <w:p w:rsidR="004B364E" w:rsidRPr="002E4597" w:rsidRDefault="004B364E" w:rsidP="002E4597">
            <w:pPr>
              <w:spacing w:before="0" w:after="0" w:line="240" w:lineRule="auto"/>
              <w:ind w:firstLine="0"/>
              <w:jc w:val="center"/>
              <w:rPr>
                <w:sz w:val="20"/>
              </w:rPr>
            </w:pPr>
            <w:r w:rsidRPr="002E4597">
              <w:rPr>
                <w:sz w:val="20"/>
              </w:rPr>
              <w:t>81</w:t>
            </w:r>
          </w:p>
        </w:tc>
        <w:tc>
          <w:tcPr>
            <w:tcW w:w="1208" w:type="dxa"/>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95</w:t>
            </w:r>
          </w:p>
        </w:tc>
        <w:tc>
          <w:tcPr>
            <w:tcW w:w="1072" w:type="dxa"/>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85</w:t>
            </w:r>
          </w:p>
        </w:tc>
        <w:tc>
          <w:tcPr>
            <w:tcW w:w="634" w:type="dxa"/>
            <w:shd w:val="clear" w:color="auto" w:fill="auto"/>
          </w:tcPr>
          <w:p w:rsidR="004B364E" w:rsidRPr="002E4597" w:rsidRDefault="004B364E" w:rsidP="002E4597">
            <w:pPr>
              <w:spacing w:before="0" w:after="0" w:line="240" w:lineRule="auto"/>
              <w:ind w:firstLine="0"/>
              <w:jc w:val="center"/>
              <w:rPr>
                <w:rFonts w:eastAsia="Times New Roman" w:cs="Arial"/>
                <w:color w:val="000000"/>
                <w:sz w:val="20"/>
                <w:lang w:val="en-US"/>
              </w:rPr>
            </w:pPr>
            <w:r w:rsidRPr="002E4597">
              <w:rPr>
                <w:rFonts w:eastAsia="Times New Roman" w:cs="Arial"/>
                <w:color w:val="000000"/>
                <w:sz w:val="20"/>
                <w:lang w:val="en-US"/>
              </w:rPr>
              <w:t>81</w:t>
            </w:r>
          </w:p>
        </w:tc>
      </w:tr>
    </w:tbl>
    <w:p w:rsidR="007853CF" w:rsidRDefault="007853CF" w:rsidP="007853CF">
      <w:pPr>
        <w:rPr>
          <w:noProof/>
          <w:lang w:eastAsia="es-MX"/>
        </w:rPr>
      </w:pPr>
    </w:p>
    <w:p w:rsidR="00F2051A" w:rsidRPr="00F2051A" w:rsidRDefault="00F2051A" w:rsidP="008011C2">
      <w:pPr>
        <w:outlineLvl w:val="0"/>
        <w:rPr>
          <w:b/>
          <w:noProof/>
          <w:lang w:eastAsia="es-MX"/>
        </w:rPr>
      </w:pPr>
      <w:r w:rsidRPr="00F2051A">
        <w:rPr>
          <w:b/>
          <w:noProof/>
          <w:lang w:eastAsia="es-MX"/>
        </w:rPr>
        <w:t>Escenario a mediano plazo</w:t>
      </w:r>
    </w:p>
    <w:p w:rsidR="007853CF" w:rsidRDefault="00F2051A" w:rsidP="007853CF">
      <w:pPr>
        <w:rPr>
          <w:noProof/>
          <w:lang w:eastAsia="es-MX"/>
        </w:rPr>
      </w:pPr>
      <w:r>
        <w:rPr>
          <w:noProof/>
          <w:lang w:eastAsia="es-MX"/>
        </w:rPr>
        <w:t>En un escenario a mediano plazo s</w:t>
      </w:r>
      <w:r w:rsidR="007853CF">
        <w:rPr>
          <w:noProof/>
          <w:lang w:eastAsia="es-MX"/>
        </w:rPr>
        <w:t xml:space="preserve">e considera, entre 5-10 años, considerando que aumentarán las tendencias de inversión en tecnificación del riego.  </w:t>
      </w:r>
    </w:p>
    <w:p w:rsidR="007853CF" w:rsidRPr="00F05CF7" w:rsidRDefault="00F2051A" w:rsidP="007853CF">
      <w:pPr>
        <w:rPr>
          <w:noProof/>
          <w:lang w:eastAsia="es-MX"/>
        </w:rPr>
      </w:pPr>
      <w:r>
        <w:rPr>
          <w:noProof/>
          <w:lang w:eastAsia="es-MX"/>
        </w:rPr>
        <w:t>Este escenario</w:t>
      </w:r>
      <w:r w:rsidR="007853CF" w:rsidRPr="00F05CF7">
        <w:rPr>
          <w:noProof/>
          <w:lang w:eastAsia="es-MX"/>
        </w:rPr>
        <w:t>, muestra que mediante inversiones de tecnificación que logren elevar las eficiencias actuales del 39% al 48% en el caso de Tlaxcala, del 42% al 52% en Puebla</w:t>
      </w:r>
      <w:r>
        <w:rPr>
          <w:noProof/>
          <w:lang w:eastAsia="es-MX"/>
        </w:rPr>
        <w:t>,</w:t>
      </w:r>
      <w:r w:rsidR="007853CF" w:rsidRPr="00F05CF7">
        <w:rPr>
          <w:noProof/>
          <w:lang w:eastAsia="es-MX"/>
        </w:rPr>
        <w:t xml:space="preserve"> y mantener las eficiencias en el estado de Veracruz</w:t>
      </w:r>
      <w:r>
        <w:rPr>
          <w:noProof/>
          <w:lang w:eastAsia="es-MX"/>
        </w:rPr>
        <w:t>, será</w:t>
      </w:r>
      <w:r w:rsidR="007853CF" w:rsidRPr="00F05CF7">
        <w:rPr>
          <w:noProof/>
          <w:lang w:eastAsia="es-MX"/>
        </w:rPr>
        <w:t xml:space="preserve"> posible tener un decremento en volúmenes consumidos del orden del 30%, situación que conduciría a tener extracciones más acordes a la disponibilidad.  </w:t>
      </w:r>
    </w:p>
    <w:p w:rsidR="007853CF" w:rsidRDefault="007853CF" w:rsidP="007853CF">
      <w:pPr>
        <w:rPr>
          <w:noProof/>
          <w:lang w:eastAsia="es-MX"/>
        </w:rPr>
      </w:pPr>
      <w:r>
        <w:rPr>
          <w:noProof/>
          <w:lang w:eastAsia="es-MX"/>
        </w:rPr>
        <w:t xml:space="preserve">Este escenario toma en consideración de inversiones en tecnificación del orden de $35,000 </w:t>
      </w:r>
      <w:r w:rsidR="00F2051A">
        <w:rPr>
          <w:noProof/>
          <w:lang w:eastAsia="es-MX"/>
        </w:rPr>
        <w:t xml:space="preserve">M.N. </w:t>
      </w:r>
      <w:r>
        <w:rPr>
          <w:noProof/>
          <w:lang w:eastAsia="es-MX"/>
        </w:rPr>
        <w:t>por hectárea en una superficie del orden de 10,000 ha para un monto de inversión del orden de $350´000,000.00 MN.</w:t>
      </w:r>
    </w:p>
    <w:p w:rsidR="007853CF" w:rsidRDefault="007853CF" w:rsidP="001527C0">
      <w:pPr>
        <w:pStyle w:val="Tabla1cap6"/>
      </w:pPr>
      <w:bookmarkStart w:id="173" w:name="_Toc262468567"/>
      <w:r w:rsidRPr="000D19B1">
        <w:t>Datos básicos para estimación de la demanda en el mediano plazo en el acuífero por entidad federativa.</w:t>
      </w:r>
      <w:bookmarkEnd w:id="173"/>
    </w:p>
    <w:tbl>
      <w:tblPr>
        <w:tblW w:w="9450" w:type="dxa"/>
        <w:jc w:val="center"/>
        <w:tblBorders>
          <w:top w:val="single" w:sz="12" w:space="0" w:color="008000"/>
          <w:bottom w:val="single" w:sz="12" w:space="0" w:color="008000"/>
        </w:tblBorders>
        <w:tblLayout w:type="fixed"/>
        <w:tblLook w:val="04A0"/>
      </w:tblPr>
      <w:tblGrid>
        <w:gridCol w:w="1171"/>
        <w:gridCol w:w="1170"/>
        <w:gridCol w:w="1195"/>
        <w:gridCol w:w="1415"/>
        <w:gridCol w:w="998"/>
        <w:gridCol w:w="982"/>
        <w:gridCol w:w="1259"/>
        <w:gridCol w:w="1260"/>
      </w:tblGrid>
      <w:tr w:rsidR="007853CF" w:rsidRPr="00E2159F" w:rsidTr="002E4597">
        <w:trPr>
          <w:trHeight w:val="20"/>
          <w:jc w:val="center"/>
        </w:trPr>
        <w:tc>
          <w:tcPr>
            <w:tcW w:w="1171" w:type="dxa"/>
            <w:tcBorders>
              <w:top w:val="single" w:sz="8" w:space="0" w:color="008000"/>
              <w:left w:val="nil"/>
              <w:bottom w:val="nil"/>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Estado</w:t>
            </w:r>
          </w:p>
        </w:tc>
        <w:tc>
          <w:tcPr>
            <w:tcW w:w="1170" w:type="dxa"/>
            <w:tcBorders>
              <w:top w:val="single" w:sz="8" w:space="0" w:color="008000"/>
              <w:bottom w:val="nil"/>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Tipo de</w:t>
            </w:r>
          </w:p>
        </w:tc>
        <w:tc>
          <w:tcPr>
            <w:tcW w:w="1195" w:type="dxa"/>
            <w:tcBorders>
              <w:top w:val="single" w:sz="8" w:space="0" w:color="008000"/>
              <w:bottom w:val="nil"/>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Superficie</w:t>
            </w:r>
          </w:p>
        </w:tc>
        <w:tc>
          <w:tcPr>
            <w:tcW w:w="1415" w:type="dxa"/>
            <w:tcBorders>
              <w:top w:val="single" w:sz="8" w:space="0" w:color="008000"/>
              <w:bottom w:val="nil"/>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Distribución</w:t>
            </w:r>
          </w:p>
        </w:tc>
        <w:tc>
          <w:tcPr>
            <w:tcW w:w="998" w:type="dxa"/>
            <w:tcBorders>
              <w:top w:val="single" w:sz="8" w:space="0" w:color="008000"/>
              <w:bottom w:val="nil"/>
            </w:tcBorders>
            <w:shd w:val="clear" w:color="auto" w:fill="auto"/>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RR neto</w:t>
            </w:r>
          </w:p>
        </w:tc>
        <w:tc>
          <w:tcPr>
            <w:tcW w:w="982" w:type="dxa"/>
            <w:tcBorders>
              <w:top w:val="single" w:sz="8" w:space="0" w:color="008000"/>
              <w:bottom w:val="nil"/>
            </w:tcBorders>
            <w:shd w:val="clear" w:color="auto" w:fill="auto"/>
          </w:tcPr>
          <w:p w:rsidR="007853CF" w:rsidRPr="00E2159F" w:rsidRDefault="007853CF" w:rsidP="002E4597">
            <w:pPr>
              <w:spacing w:before="0" w:after="0" w:line="240" w:lineRule="auto"/>
              <w:ind w:firstLine="0"/>
              <w:jc w:val="center"/>
              <w:rPr>
                <w:rFonts w:eastAsia="Times New Roman" w:cs="Arial"/>
                <w:color w:val="000000"/>
                <w:sz w:val="18"/>
                <w:szCs w:val="18"/>
              </w:rPr>
            </w:pPr>
            <w:proofErr w:type="spellStart"/>
            <w:r w:rsidRPr="00E2159F">
              <w:rPr>
                <w:rFonts w:eastAsia="Times New Roman" w:cs="Arial"/>
                <w:color w:val="000000"/>
                <w:sz w:val="18"/>
                <w:szCs w:val="18"/>
              </w:rPr>
              <w:t>Ef</w:t>
            </w:r>
            <w:proofErr w:type="spellEnd"/>
            <w:r w:rsidRPr="00E2159F">
              <w:rPr>
                <w:rFonts w:eastAsia="Times New Roman" w:cs="Arial"/>
                <w:color w:val="000000"/>
                <w:sz w:val="18"/>
                <w:szCs w:val="18"/>
              </w:rPr>
              <w:t xml:space="preserve"> Total</w:t>
            </w:r>
          </w:p>
        </w:tc>
        <w:tc>
          <w:tcPr>
            <w:tcW w:w="2519" w:type="dxa"/>
            <w:gridSpan w:val="2"/>
            <w:tcBorders>
              <w:top w:val="single" w:sz="8" w:space="0" w:color="008000"/>
              <w:bottom w:val="single" w:sz="8" w:space="0" w:color="008000"/>
            </w:tcBorders>
            <w:shd w:val="clear" w:color="auto" w:fill="auto"/>
          </w:tcPr>
          <w:p w:rsidR="007853CF" w:rsidRPr="00E2159F" w:rsidRDefault="007853CF" w:rsidP="002E4597">
            <w:pPr>
              <w:spacing w:before="0" w:after="0" w:line="240" w:lineRule="auto"/>
              <w:ind w:firstLine="0"/>
              <w:jc w:val="center"/>
              <w:rPr>
                <w:rFonts w:eastAsia="Times New Roman" w:cs="Arial"/>
                <w:color w:val="000000"/>
                <w:sz w:val="18"/>
                <w:szCs w:val="18"/>
                <w:vertAlign w:val="superscript"/>
              </w:rPr>
            </w:pPr>
            <w:r w:rsidRPr="00E2159F">
              <w:rPr>
                <w:rFonts w:eastAsia="Times New Roman" w:cs="Arial"/>
                <w:color w:val="000000"/>
                <w:sz w:val="18"/>
                <w:szCs w:val="18"/>
              </w:rPr>
              <w:t>Volumen anual  Mm</w:t>
            </w:r>
            <w:r w:rsidRPr="00E2159F">
              <w:rPr>
                <w:rFonts w:eastAsia="Times New Roman" w:cs="Arial"/>
                <w:color w:val="000000"/>
                <w:sz w:val="18"/>
                <w:szCs w:val="18"/>
                <w:vertAlign w:val="superscript"/>
              </w:rPr>
              <w:t>3</w:t>
            </w:r>
          </w:p>
        </w:tc>
      </w:tr>
      <w:tr w:rsidR="007853CF" w:rsidRPr="00E2159F" w:rsidTr="002E4597">
        <w:trPr>
          <w:trHeight w:val="20"/>
          <w:jc w:val="center"/>
        </w:trPr>
        <w:tc>
          <w:tcPr>
            <w:tcW w:w="1171"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p>
        </w:tc>
        <w:tc>
          <w:tcPr>
            <w:tcW w:w="1170"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Cultivo</w:t>
            </w:r>
          </w:p>
        </w:tc>
        <w:tc>
          <w:tcPr>
            <w:tcW w:w="119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(ha)</w:t>
            </w:r>
          </w:p>
        </w:tc>
        <w:tc>
          <w:tcPr>
            <w:tcW w:w="141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w:t>
            </w:r>
          </w:p>
        </w:tc>
        <w:tc>
          <w:tcPr>
            <w:tcW w:w="998"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(mm)</w:t>
            </w:r>
          </w:p>
        </w:tc>
        <w:tc>
          <w:tcPr>
            <w:tcW w:w="982"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w:t>
            </w:r>
          </w:p>
        </w:tc>
        <w:tc>
          <w:tcPr>
            <w:tcW w:w="1259" w:type="dxa"/>
            <w:tcBorders>
              <w:top w:val="single" w:sz="8" w:space="0" w:color="008000"/>
              <w:bottom w:val="single" w:sz="8" w:space="0" w:color="008000"/>
            </w:tcBorders>
            <w:shd w:val="clear" w:color="auto" w:fill="auto"/>
          </w:tcPr>
          <w:p w:rsidR="007853CF" w:rsidRPr="00E2159F" w:rsidRDefault="007853CF" w:rsidP="002E4597">
            <w:pPr>
              <w:spacing w:before="0" w:after="0" w:line="240" w:lineRule="auto"/>
              <w:ind w:firstLine="0"/>
              <w:rPr>
                <w:rFonts w:eastAsia="Times New Roman" w:cs="Arial"/>
                <w:color w:val="000000"/>
                <w:sz w:val="18"/>
                <w:szCs w:val="18"/>
              </w:rPr>
            </w:pPr>
            <w:r w:rsidRPr="00E2159F">
              <w:rPr>
                <w:rFonts w:eastAsia="Times New Roman" w:cs="Arial"/>
                <w:color w:val="000000"/>
                <w:sz w:val="18"/>
                <w:szCs w:val="18"/>
              </w:rPr>
              <w:t xml:space="preserve">Demanda </w:t>
            </w:r>
          </w:p>
        </w:tc>
        <w:tc>
          <w:tcPr>
            <w:tcW w:w="1260" w:type="dxa"/>
            <w:tcBorders>
              <w:top w:val="single" w:sz="8" w:space="0" w:color="008000"/>
              <w:bottom w:val="single" w:sz="8" w:space="0" w:color="008000"/>
            </w:tcBorders>
            <w:shd w:val="clear" w:color="auto" w:fill="auto"/>
          </w:tcPr>
          <w:p w:rsidR="007853CF" w:rsidRPr="00E2159F" w:rsidRDefault="007853CF" w:rsidP="002E4597">
            <w:pPr>
              <w:spacing w:before="0" w:after="0" w:line="240" w:lineRule="auto"/>
              <w:ind w:firstLine="0"/>
              <w:jc w:val="center"/>
              <w:rPr>
                <w:rFonts w:eastAsia="Times New Roman" w:cs="Arial"/>
                <w:color w:val="000000"/>
                <w:sz w:val="18"/>
                <w:szCs w:val="18"/>
              </w:rPr>
            </w:pPr>
            <w:r w:rsidRPr="00E2159F">
              <w:rPr>
                <w:rFonts w:eastAsia="Times New Roman" w:cs="Arial"/>
                <w:color w:val="000000"/>
                <w:sz w:val="18"/>
                <w:szCs w:val="18"/>
              </w:rPr>
              <w:t>Concesión</w:t>
            </w:r>
          </w:p>
        </w:tc>
      </w:tr>
      <w:tr w:rsidR="007853CF" w:rsidRPr="00E2159F" w:rsidTr="002E4597">
        <w:trPr>
          <w:trHeight w:val="20"/>
          <w:jc w:val="center"/>
        </w:trPr>
        <w:tc>
          <w:tcPr>
            <w:tcW w:w="1171"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Puebla</w:t>
            </w:r>
          </w:p>
        </w:tc>
        <w:tc>
          <w:tcPr>
            <w:tcW w:w="1170"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Cíclico</w:t>
            </w:r>
          </w:p>
        </w:tc>
        <w:tc>
          <w:tcPr>
            <w:tcW w:w="119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16,320 </w:t>
            </w:r>
          </w:p>
        </w:tc>
        <w:tc>
          <w:tcPr>
            <w:tcW w:w="141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82%</w:t>
            </w:r>
          </w:p>
        </w:tc>
        <w:tc>
          <w:tcPr>
            <w:tcW w:w="998"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251.2</w:t>
            </w:r>
          </w:p>
        </w:tc>
        <w:tc>
          <w:tcPr>
            <w:tcW w:w="982"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78.1</w:t>
            </w:r>
          </w:p>
        </w:tc>
        <w:tc>
          <w:tcPr>
            <w:tcW w:w="1260"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tcBorders>
              <w:bottom w:val="nil"/>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Perenne</w:t>
            </w:r>
          </w:p>
        </w:tc>
        <w:tc>
          <w:tcPr>
            <w:tcW w:w="1195" w:type="dxa"/>
            <w:tcBorders>
              <w:bottom w:val="nil"/>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4,080 </w:t>
            </w:r>
          </w:p>
        </w:tc>
        <w:tc>
          <w:tcPr>
            <w:tcW w:w="1415" w:type="dxa"/>
            <w:tcBorders>
              <w:bottom w:val="nil"/>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18%</w:t>
            </w:r>
          </w:p>
        </w:tc>
        <w:tc>
          <w:tcPr>
            <w:tcW w:w="998" w:type="dxa"/>
            <w:tcBorders>
              <w:bottom w:val="nil"/>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947.3</w:t>
            </w:r>
          </w:p>
        </w:tc>
        <w:tc>
          <w:tcPr>
            <w:tcW w:w="982" w:type="dxa"/>
            <w:tcBorders>
              <w:bottom w:val="nil"/>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bottom w:val="nil"/>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79.3</w:t>
            </w:r>
          </w:p>
        </w:tc>
        <w:tc>
          <w:tcPr>
            <w:tcW w:w="1260" w:type="dxa"/>
            <w:tcBorders>
              <w:bottom w:val="nil"/>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b/>
                <w:color w:val="000000"/>
                <w:sz w:val="18"/>
                <w:szCs w:val="18"/>
              </w:rPr>
            </w:pPr>
            <w:r w:rsidRPr="00E2159F">
              <w:rPr>
                <w:rFonts w:eastAsia="Times New Roman" w:cs="Arial"/>
                <w:b/>
                <w:color w:val="000000"/>
                <w:sz w:val="18"/>
                <w:szCs w:val="18"/>
              </w:rPr>
              <w:t>Total</w:t>
            </w:r>
          </w:p>
        </w:tc>
        <w:tc>
          <w:tcPr>
            <w:tcW w:w="119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 xml:space="preserve">     20,400 </w:t>
            </w:r>
          </w:p>
        </w:tc>
        <w:tc>
          <w:tcPr>
            <w:tcW w:w="141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100% </w:t>
            </w:r>
          </w:p>
        </w:tc>
        <w:tc>
          <w:tcPr>
            <w:tcW w:w="998"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390.4</w:t>
            </w:r>
          </w:p>
        </w:tc>
        <w:tc>
          <w:tcPr>
            <w:tcW w:w="982"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52.5</w:t>
            </w:r>
          </w:p>
        </w:tc>
        <w:tc>
          <w:tcPr>
            <w:tcW w:w="1259"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 xml:space="preserve">    157.4 </w:t>
            </w:r>
          </w:p>
        </w:tc>
        <w:tc>
          <w:tcPr>
            <w:tcW w:w="1260"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132.6</w:t>
            </w: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Tlaxcala</w:t>
            </w:r>
          </w:p>
        </w:tc>
        <w:tc>
          <w:tcPr>
            <w:tcW w:w="1170"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Cíclico</w:t>
            </w:r>
          </w:p>
        </w:tc>
        <w:tc>
          <w:tcPr>
            <w:tcW w:w="119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7,644 </w:t>
            </w:r>
          </w:p>
        </w:tc>
        <w:tc>
          <w:tcPr>
            <w:tcW w:w="141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90%</w:t>
            </w:r>
          </w:p>
        </w:tc>
        <w:tc>
          <w:tcPr>
            <w:tcW w:w="998"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251.2</w:t>
            </w:r>
          </w:p>
        </w:tc>
        <w:tc>
          <w:tcPr>
            <w:tcW w:w="982"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39.4 </w:t>
            </w:r>
          </w:p>
        </w:tc>
        <w:tc>
          <w:tcPr>
            <w:tcW w:w="1260"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tcBorders>
              <w:bottom w:val="nil"/>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Perenne</w:t>
            </w:r>
          </w:p>
        </w:tc>
        <w:tc>
          <w:tcPr>
            <w:tcW w:w="1195" w:type="dxa"/>
            <w:tcBorders>
              <w:bottom w:val="nil"/>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1,456 </w:t>
            </w:r>
          </w:p>
        </w:tc>
        <w:tc>
          <w:tcPr>
            <w:tcW w:w="1415" w:type="dxa"/>
            <w:tcBorders>
              <w:bottom w:val="nil"/>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10%</w:t>
            </w:r>
          </w:p>
        </w:tc>
        <w:tc>
          <w:tcPr>
            <w:tcW w:w="998" w:type="dxa"/>
            <w:tcBorders>
              <w:bottom w:val="nil"/>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947.3</w:t>
            </w:r>
          </w:p>
        </w:tc>
        <w:tc>
          <w:tcPr>
            <w:tcW w:w="982" w:type="dxa"/>
            <w:tcBorders>
              <w:bottom w:val="nil"/>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bottom w:val="nil"/>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17.1 </w:t>
            </w:r>
          </w:p>
        </w:tc>
        <w:tc>
          <w:tcPr>
            <w:tcW w:w="1260" w:type="dxa"/>
            <w:tcBorders>
              <w:bottom w:val="nil"/>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b/>
                <w:color w:val="000000"/>
                <w:sz w:val="18"/>
                <w:szCs w:val="18"/>
              </w:rPr>
            </w:pPr>
            <w:r w:rsidRPr="00E2159F">
              <w:rPr>
                <w:rFonts w:eastAsia="Times New Roman" w:cs="Arial"/>
                <w:b/>
                <w:color w:val="000000"/>
                <w:sz w:val="18"/>
                <w:szCs w:val="18"/>
              </w:rPr>
              <w:t>Total</w:t>
            </w:r>
          </w:p>
        </w:tc>
        <w:tc>
          <w:tcPr>
            <w:tcW w:w="119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 xml:space="preserve">     9,100 </w:t>
            </w:r>
          </w:p>
        </w:tc>
        <w:tc>
          <w:tcPr>
            <w:tcW w:w="141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100%</w:t>
            </w:r>
          </w:p>
        </w:tc>
        <w:tc>
          <w:tcPr>
            <w:tcW w:w="998"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362.6</w:t>
            </w:r>
          </w:p>
        </w:tc>
        <w:tc>
          <w:tcPr>
            <w:tcW w:w="982"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48.8</w:t>
            </w:r>
          </w:p>
        </w:tc>
        <w:tc>
          <w:tcPr>
            <w:tcW w:w="1259"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 xml:space="preserve">      56.5 </w:t>
            </w:r>
          </w:p>
        </w:tc>
        <w:tc>
          <w:tcPr>
            <w:tcW w:w="1260"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39.8</w:t>
            </w: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Ver</w:t>
            </w:r>
          </w:p>
        </w:tc>
        <w:tc>
          <w:tcPr>
            <w:tcW w:w="1170"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Cíclico</w:t>
            </w:r>
          </w:p>
        </w:tc>
        <w:tc>
          <w:tcPr>
            <w:tcW w:w="119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3,000 </w:t>
            </w:r>
          </w:p>
        </w:tc>
        <w:tc>
          <w:tcPr>
            <w:tcW w:w="141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100%</w:t>
            </w:r>
          </w:p>
        </w:tc>
        <w:tc>
          <w:tcPr>
            <w:tcW w:w="998"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294.7</w:t>
            </w:r>
          </w:p>
        </w:tc>
        <w:tc>
          <w:tcPr>
            <w:tcW w:w="982"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10.9 </w:t>
            </w:r>
          </w:p>
        </w:tc>
        <w:tc>
          <w:tcPr>
            <w:tcW w:w="1260"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tcBorders>
              <w:bottom w:val="nil"/>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Perenne</w:t>
            </w:r>
          </w:p>
        </w:tc>
        <w:tc>
          <w:tcPr>
            <w:tcW w:w="1195" w:type="dxa"/>
            <w:tcBorders>
              <w:bottom w:val="nil"/>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w:t>
            </w:r>
          </w:p>
        </w:tc>
        <w:tc>
          <w:tcPr>
            <w:tcW w:w="1415" w:type="dxa"/>
            <w:tcBorders>
              <w:bottom w:val="nil"/>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998" w:type="dxa"/>
            <w:tcBorders>
              <w:bottom w:val="nil"/>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982" w:type="dxa"/>
            <w:tcBorders>
              <w:bottom w:val="nil"/>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bottom w:val="nil"/>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   </w:t>
            </w:r>
          </w:p>
        </w:tc>
        <w:tc>
          <w:tcPr>
            <w:tcW w:w="1260" w:type="dxa"/>
            <w:tcBorders>
              <w:bottom w:val="nil"/>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b/>
                <w:color w:val="000000"/>
                <w:sz w:val="18"/>
                <w:szCs w:val="18"/>
              </w:rPr>
            </w:pPr>
            <w:r w:rsidRPr="00E2159F">
              <w:rPr>
                <w:rFonts w:eastAsia="Times New Roman" w:cs="Arial"/>
                <w:b/>
                <w:color w:val="000000"/>
                <w:sz w:val="18"/>
                <w:szCs w:val="18"/>
              </w:rPr>
              <w:t>Total</w:t>
            </w:r>
          </w:p>
        </w:tc>
        <w:tc>
          <w:tcPr>
            <w:tcW w:w="119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 xml:space="preserve">      3,000 </w:t>
            </w:r>
          </w:p>
        </w:tc>
        <w:tc>
          <w:tcPr>
            <w:tcW w:w="1415" w:type="dxa"/>
            <w:tcBorders>
              <w:top w:val="nil"/>
              <w:bottom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100% </w:t>
            </w:r>
          </w:p>
        </w:tc>
        <w:tc>
          <w:tcPr>
            <w:tcW w:w="998"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294.7</w:t>
            </w:r>
          </w:p>
        </w:tc>
        <w:tc>
          <w:tcPr>
            <w:tcW w:w="982"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80.7</w:t>
            </w:r>
          </w:p>
        </w:tc>
        <w:tc>
          <w:tcPr>
            <w:tcW w:w="1259"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 xml:space="preserve">      10.9 </w:t>
            </w:r>
          </w:p>
        </w:tc>
        <w:tc>
          <w:tcPr>
            <w:tcW w:w="1260" w:type="dxa"/>
            <w:tcBorders>
              <w:top w:val="nil"/>
              <w:bottom w:val="single" w:sz="8" w:space="0" w:color="008000"/>
            </w:tcBorders>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19.7</w:t>
            </w: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Total</w:t>
            </w:r>
          </w:p>
        </w:tc>
        <w:tc>
          <w:tcPr>
            <w:tcW w:w="1170"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Cíclico</w:t>
            </w:r>
          </w:p>
        </w:tc>
        <w:tc>
          <w:tcPr>
            <w:tcW w:w="119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29,964 </w:t>
            </w:r>
          </w:p>
        </w:tc>
        <w:tc>
          <w:tcPr>
            <w:tcW w:w="1415" w:type="dxa"/>
            <w:tcBorders>
              <w:top w:val="single" w:sz="8" w:space="0" w:color="008000"/>
            </w:tcBorders>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84%</w:t>
            </w:r>
          </w:p>
        </w:tc>
        <w:tc>
          <w:tcPr>
            <w:tcW w:w="998"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982"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128.4 </w:t>
            </w:r>
          </w:p>
        </w:tc>
        <w:tc>
          <w:tcPr>
            <w:tcW w:w="1260" w:type="dxa"/>
            <w:tcBorders>
              <w:top w:val="single" w:sz="8" w:space="0" w:color="008000"/>
            </w:tcBorders>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Perenne</w:t>
            </w:r>
          </w:p>
        </w:tc>
        <w:tc>
          <w:tcPr>
            <w:tcW w:w="1195" w:type="dxa"/>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 xml:space="preserve">     5,536 </w:t>
            </w:r>
          </w:p>
        </w:tc>
        <w:tc>
          <w:tcPr>
            <w:tcW w:w="1415" w:type="dxa"/>
            <w:shd w:val="clear" w:color="auto" w:fill="auto"/>
            <w:noWrap/>
            <w:hideMark/>
          </w:tcPr>
          <w:p w:rsidR="007853CF" w:rsidRPr="00E2159F" w:rsidRDefault="007853CF" w:rsidP="002E4597">
            <w:pPr>
              <w:spacing w:before="0" w:after="0" w:line="240" w:lineRule="auto"/>
              <w:ind w:firstLine="0"/>
              <w:jc w:val="right"/>
              <w:rPr>
                <w:rFonts w:eastAsia="Times New Roman" w:cs="Arial"/>
                <w:color w:val="000000"/>
                <w:sz w:val="18"/>
                <w:szCs w:val="18"/>
              </w:rPr>
            </w:pPr>
            <w:r w:rsidRPr="00E2159F">
              <w:rPr>
                <w:rFonts w:eastAsia="Times New Roman" w:cs="Arial"/>
                <w:color w:val="000000"/>
                <w:sz w:val="18"/>
                <w:szCs w:val="18"/>
              </w:rPr>
              <w:t>16%</w:t>
            </w:r>
          </w:p>
        </w:tc>
        <w:tc>
          <w:tcPr>
            <w:tcW w:w="998" w:type="dxa"/>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982" w:type="dxa"/>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shd w:val="clear" w:color="auto" w:fill="auto"/>
          </w:tcPr>
          <w:p w:rsidR="007853CF" w:rsidRPr="00E2159F" w:rsidRDefault="007853CF" w:rsidP="002E4597">
            <w:pPr>
              <w:spacing w:before="0" w:after="0" w:line="240" w:lineRule="auto"/>
              <w:ind w:firstLine="0"/>
              <w:jc w:val="right"/>
              <w:rPr>
                <w:rFonts w:cs="Arial"/>
                <w:color w:val="000000"/>
                <w:sz w:val="18"/>
                <w:szCs w:val="18"/>
              </w:rPr>
            </w:pPr>
            <w:r w:rsidRPr="00E2159F">
              <w:rPr>
                <w:rFonts w:cs="Arial"/>
                <w:color w:val="000000"/>
                <w:sz w:val="18"/>
                <w:szCs w:val="18"/>
              </w:rPr>
              <w:t xml:space="preserve">      96.4 </w:t>
            </w:r>
          </w:p>
        </w:tc>
        <w:tc>
          <w:tcPr>
            <w:tcW w:w="1260" w:type="dxa"/>
            <w:shd w:val="clear" w:color="auto" w:fill="auto"/>
          </w:tcPr>
          <w:p w:rsidR="007853CF" w:rsidRPr="00E2159F" w:rsidRDefault="007853CF" w:rsidP="002E4597">
            <w:pPr>
              <w:spacing w:before="0" w:after="0" w:line="240" w:lineRule="auto"/>
              <w:ind w:firstLine="0"/>
              <w:jc w:val="right"/>
              <w:rPr>
                <w:rFonts w:cs="Arial"/>
                <w:color w:val="000000"/>
                <w:sz w:val="18"/>
                <w:szCs w:val="18"/>
              </w:rPr>
            </w:pPr>
          </w:p>
        </w:tc>
      </w:tr>
      <w:tr w:rsidR="007853CF" w:rsidRPr="00E2159F" w:rsidTr="002E4597">
        <w:trPr>
          <w:trHeight w:val="20"/>
          <w:jc w:val="center"/>
        </w:trPr>
        <w:tc>
          <w:tcPr>
            <w:tcW w:w="1171" w:type="dxa"/>
            <w:shd w:val="clear" w:color="auto" w:fill="auto"/>
            <w:noWrap/>
            <w:hideMark/>
          </w:tcPr>
          <w:p w:rsidR="007853CF" w:rsidRPr="00E2159F" w:rsidRDefault="007853CF" w:rsidP="002E4597">
            <w:pPr>
              <w:spacing w:before="0" w:after="0" w:line="240" w:lineRule="auto"/>
              <w:ind w:firstLine="0"/>
              <w:jc w:val="left"/>
              <w:rPr>
                <w:rFonts w:eastAsia="Times New Roman" w:cs="Arial"/>
                <w:color w:val="000000"/>
                <w:sz w:val="18"/>
                <w:szCs w:val="18"/>
              </w:rPr>
            </w:pPr>
            <w:r w:rsidRPr="00E2159F">
              <w:rPr>
                <w:rFonts w:eastAsia="Times New Roman" w:cs="Arial"/>
                <w:color w:val="000000"/>
                <w:sz w:val="18"/>
                <w:szCs w:val="18"/>
              </w:rPr>
              <w:t> </w:t>
            </w:r>
          </w:p>
        </w:tc>
        <w:tc>
          <w:tcPr>
            <w:tcW w:w="1170" w:type="dxa"/>
            <w:shd w:val="clear" w:color="auto" w:fill="auto"/>
            <w:noWrap/>
            <w:hideMark/>
          </w:tcPr>
          <w:p w:rsidR="007853CF" w:rsidRPr="00E2159F" w:rsidRDefault="007853CF" w:rsidP="002E4597">
            <w:pPr>
              <w:spacing w:before="0" w:after="0" w:line="240" w:lineRule="auto"/>
              <w:ind w:firstLine="0"/>
              <w:jc w:val="left"/>
              <w:rPr>
                <w:rFonts w:eastAsia="Times New Roman" w:cs="Arial"/>
                <w:b/>
                <w:color w:val="000000"/>
                <w:sz w:val="18"/>
                <w:szCs w:val="18"/>
              </w:rPr>
            </w:pPr>
            <w:r w:rsidRPr="00E2159F">
              <w:rPr>
                <w:rFonts w:eastAsia="Times New Roman" w:cs="Arial"/>
                <w:b/>
                <w:color w:val="000000"/>
                <w:sz w:val="18"/>
                <w:szCs w:val="18"/>
              </w:rPr>
              <w:t>Total</w:t>
            </w:r>
          </w:p>
        </w:tc>
        <w:tc>
          <w:tcPr>
            <w:tcW w:w="1195" w:type="dxa"/>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 xml:space="preserve">    32,500 </w:t>
            </w:r>
          </w:p>
        </w:tc>
        <w:tc>
          <w:tcPr>
            <w:tcW w:w="1415" w:type="dxa"/>
            <w:shd w:val="clear" w:color="auto" w:fill="auto"/>
            <w:noWrap/>
            <w:hideMark/>
          </w:tcPr>
          <w:p w:rsidR="007853CF" w:rsidRPr="00E2159F" w:rsidRDefault="007853CF" w:rsidP="002E4597">
            <w:pPr>
              <w:spacing w:before="0" w:after="0" w:line="240" w:lineRule="auto"/>
              <w:ind w:firstLine="0"/>
              <w:jc w:val="right"/>
              <w:rPr>
                <w:rFonts w:eastAsia="Times New Roman" w:cs="Arial"/>
                <w:b/>
                <w:color w:val="000000"/>
                <w:sz w:val="18"/>
                <w:szCs w:val="18"/>
              </w:rPr>
            </w:pPr>
            <w:r w:rsidRPr="00E2159F">
              <w:rPr>
                <w:rFonts w:eastAsia="Times New Roman" w:cs="Arial"/>
                <w:b/>
                <w:color w:val="000000"/>
                <w:sz w:val="18"/>
                <w:szCs w:val="18"/>
              </w:rPr>
              <w:t>100%</w:t>
            </w:r>
          </w:p>
        </w:tc>
        <w:tc>
          <w:tcPr>
            <w:tcW w:w="998" w:type="dxa"/>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982" w:type="dxa"/>
            <w:shd w:val="clear" w:color="auto" w:fill="auto"/>
          </w:tcPr>
          <w:p w:rsidR="007853CF" w:rsidRPr="00E2159F" w:rsidRDefault="007853CF" w:rsidP="002E4597">
            <w:pPr>
              <w:spacing w:before="0" w:after="0" w:line="240" w:lineRule="auto"/>
              <w:ind w:firstLine="0"/>
              <w:jc w:val="right"/>
              <w:rPr>
                <w:rFonts w:eastAsia="Times New Roman" w:cs="Arial"/>
                <w:color w:val="000000"/>
                <w:sz w:val="18"/>
                <w:szCs w:val="18"/>
              </w:rPr>
            </w:pPr>
          </w:p>
        </w:tc>
        <w:tc>
          <w:tcPr>
            <w:tcW w:w="1259" w:type="dxa"/>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 xml:space="preserve">    224.8 </w:t>
            </w:r>
          </w:p>
        </w:tc>
        <w:tc>
          <w:tcPr>
            <w:tcW w:w="1260" w:type="dxa"/>
            <w:shd w:val="clear" w:color="auto" w:fill="auto"/>
          </w:tcPr>
          <w:p w:rsidR="007853CF" w:rsidRPr="00E2159F" w:rsidRDefault="007853CF" w:rsidP="002E4597">
            <w:pPr>
              <w:spacing w:before="0" w:after="0" w:line="240" w:lineRule="auto"/>
              <w:ind w:firstLine="0"/>
              <w:jc w:val="right"/>
              <w:rPr>
                <w:rFonts w:cs="Arial"/>
                <w:b/>
                <w:bCs/>
                <w:color w:val="000000"/>
                <w:sz w:val="18"/>
                <w:szCs w:val="18"/>
              </w:rPr>
            </w:pPr>
            <w:r w:rsidRPr="00E2159F">
              <w:rPr>
                <w:rFonts w:cs="Arial"/>
                <w:b/>
                <w:bCs/>
                <w:color w:val="000000"/>
                <w:sz w:val="18"/>
                <w:szCs w:val="18"/>
              </w:rPr>
              <w:t>191.1</w:t>
            </w:r>
          </w:p>
        </w:tc>
      </w:tr>
    </w:tbl>
    <w:p w:rsidR="007853CF" w:rsidRPr="00F05CF7" w:rsidRDefault="007853CF" w:rsidP="007853CF">
      <w:pPr>
        <w:rPr>
          <w:noProof/>
          <w:lang w:eastAsia="es-MX"/>
        </w:rPr>
      </w:pPr>
    </w:p>
    <w:p w:rsidR="007853CF" w:rsidRPr="00F05CF7" w:rsidRDefault="00F2051A" w:rsidP="007853CF">
      <w:pPr>
        <w:rPr>
          <w:noProof/>
          <w:lang w:eastAsia="es-MX"/>
        </w:rPr>
      </w:pPr>
      <w:r>
        <w:rPr>
          <w:noProof/>
          <w:lang w:eastAsia="es-MX"/>
        </w:rPr>
        <w:t>Para este escenario</w:t>
      </w:r>
      <w:r w:rsidR="007853CF" w:rsidRPr="00F05CF7">
        <w:rPr>
          <w:noProof/>
          <w:lang w:eastAsia="es-MX"/>
        </w:rPr>
        <w:t xml:space="preserve"> se estima que actualmente se extraerán del orden de 224.8 Mm</w:t>
      </w:r>
      <w:r w:rsidR="007853CF" w:rsidRPr="00F05CF7">
        <w:rPr>
          <w:noProof/>
          <w:vertAlign w:val="superscript"/>
          <w:lang w:eastAsia="es-MX"/>
        </w:rPr>
        <w:t>3</w:t>
      </w:r>
      <w:r w:rsidR="007853CF" w:rsidRPr="00F05CF7">
        <w:rPr>
          <w:noProof/>
          <w:lang w:eastAsia="es-MX"/>
        </w:rPr>
        <w:t xml:space="preserve"> anuales para uso agrícola, una explotación 33.7 Mm</w:t>
      </w:r>
      <w:r w:rsidR="007853CF" w:rsidRPr="00F05CF7">
        <w:rPr>
          <w:noProof/>
          <w:vertAlign w:val="superscript"/>
          <w:lang w:eastAsia="es-MX"/>
        </w:rPr>
        <w:t>3</w:t>
      </w:r>
      <w:r w:rsidR="007853CF" w:rsidRPr="00F05CF7">
        <w:rPr>
          <w:noProof/>
          <w:lang w:eastAsia="es-MX"/>
        </w:rPr>
        <w:t xml:space="preserve"> superior al volumen concesionado actualmente para riego. Sin embargo</w:t>
      </w:r>
      <w:r>
        <w:rPr>
          <w:noProof/>
          <w:lang w:eastAsia="es-MX"/>
        </w:rPr>
        <w:t>,</w:t>
      </w:r>
      <w:r w:rsidR="007853CF" w:rsidRPr="00F05CF7">
        <w:rPr>
          <w:noProof/>
          <w:lang w:eastAsia="es-MX"/>
        </w:rPr>
        <w:t xml:space="preserve"> a nivel estatal</w:t>
      </w:r>
      <w:r>
        <w:rPr>
          <w:noProof/>
          <w:lang w:eastAsia="es-MX"/>
        </w:rPr>
        <w:t>,</w:t>
      </w:r>
      <w:r w:rsidR="007853CF" w:rsidRPr="00F05CF7">
        <w:rPr>
          <w:noProof/>
          <w:lang w:eastAsia="es-MX"/>
        </w:rPr>
        <w:t xml:space="preserve"> Veracruz muestra una disponibilidad del 45% del volumen concesionado, </w:t>
      </w:r>
      <w:r>
        <w:rPr>
          <w:noProof/>
          <w:lang w:eastAsia="es-MX"/>
        </w:rPr>
        <w:t xml:space="preserve">por lo </w:t>
      </w:r>
      <w:r w:rsidR="007853CF" w:rsidRPr="00F05CF7">
        <w:rPr>
          <w:noProof/>
          <w:lang w:eastAsia="es-MX"/>
        </w:rPr>
        <w:t xml:space="preserve">que prácticamente puede duplicar la superficie actual bajo riego. Por otra </w:t>
      </w:r>
      <w:r w:rsidR="007853CF" w:rsidRPr="00F05CF7">
        <w:rPr>
          <w:noProof/>
          <w:lang w:eastAsia="es-MX"/>
        </w:rPr>
        <w:lastRenderedPageBreak/>
        <w:t>parte Tlaxcala requiere de mejorar su eficiencia global sustancialmente para mantenerse dentro de la concesión.</w:t>
      </w:r>
    </w:p>
    <w:p w:rsidR="007853CF" w:rsidRPr="00F2051A" w:rsidRDefault="00F2051A" w:rsidP="008011C2">
      <w:pPr>
        <w:outlineLvl w:val="0"/>
        <w:rPr>
          <w:b/>
          <w:noProof/>
          <w:lang w:eastAsia="es-MX"/>
        </w:rPr>
      </w:pPr>
      <w:r w:rsidRPr="00F2051A">
        <w:rPr>
          <w:b/>
          <w:noProof/>
          <w:lang w:eastAsia="es-MX"/>
        </w:rPr>
        <w:t xml:space="preserve">Escenario a largo </w:t>
      </w:r>
      <w:r>
        <w:rPr>
          <w:b/>
          <w:noProof/>
          <w:lang w:eastAsia="es-MX"/>
        </w:rPr>
        <w:t>p</w:t>
      </w:r>
      <w:r w:rsidRPr="00F2051A">
        <w:rPr>
          <w:b/>
          <w:noProof/>
          <w:lang w:eastAsia="es-MX"/>
        </w:rPr>
        <w:t>lazo</w:t>
      </w:r>
    </w:p>
    <w:p w:rsidR="007853CF" w:rsidRDefault="00F2051A" w:rsidP="007853CF">
      <w:pPr>
        <w:rPr>
          <w:noProof/>
          <w:lang w:eastAsia="es-MX"/>
        </w:rPr>
      </w:pPr>
      <w:r>
        <w:rPr>
          <w:noProof/>
          <w:lang w:eastAsia="es-MX"/>
        </w:rPr>
        <w:t>Para e</w:t>
      </w:r>
      <w:r w:rsidR="007853CF">
        <w:rPr>
          <w:noProof/>
          <w:lang w:eastAsia="es-MX"/>
        </w:rPr>
        <w:t>l escenario de máxima tecnificación o largo plazo (más de 10 años) se hicieron l</w:t>
      </w:r>
      <w:r>
        <w:rPr>
          <w:noProof/>
          <w:lang w:eastAsia="es-MX"/>
        </w:rPr>
        <w:t>as siguientes consideraciones: e</w:t>
      </w:r>
      <w:r w:rsidR="007853CF">
        <w:rPr>
          <w:noProof/>
          <w:lang w:eastAsia="es-MX"/>
        </w:rPr>
        <w:t>ficiencia de aplica</w:t>
      </w:r>
      <w:r>
        <w:rPr>
          <w:noProof/>
          <w:lang w:eastAsia="es-MX"/>
        </w:rPr>
        <w:t>ción promedio del agua de riego del</w:t>
      </w:r>
      <w:r w:rsidR="007853CF">
        <w:rPr>
          <w:noProof/>
          <w:lang w:eastAsia="es-MX"/>
        </w:rPr>
        <w:t xml:space="preserve"> 85%</w:t>
      </w:r>
      <w:r>
        <w:rPr>
          <w:noProof/>
          <w:lang w:eastAsia="es-MX"/>
        </w:rPr>
        <w:t>; e</w:t>
      </w:r>
      <w:r w:rsidR="007853CF">
        <w:rPr>
          <w:noProof/>
          <w:lang w:eastAsia="es-MX"/>
        </w:rPr>
        <w:t>ficiencia de conducción del agua de riego</w:t>
      </w:r>
      <w:r>
        <w:rPr>
          <w:noProof/>
          <w:lang w:eastAsia="es-MX"/>
        </w:rPr>
        <w:t xml:space="preserve"> del </w:t>
      </w:r>
      <w:r w:rsidR="007853CF">
        <w:rPr>
          <w:noProof/>
          <w:lang w:eastAsia="es-MX"/>
        </w:rPr>
        <w:t>95%</w:t>
      </w:r>
      <w:r>
        <w:rPr>
          <w:noProof/>
          <w:lang w:eastAsia="es-MX"/>
        </w:rPr>
        <w:t xml:space="preserve">; y </w:t>
      </w:r>
      <w:r w:rsidR="00E2159F" w:rsidRPr="00E2159F">
        <w:rPr>
          <w:noProof/>
          <w:lang w:eastAsia="es-MX"/>
        </w:rPr>
        <w:t>e</w:t>
      </w:r>
      <w:r w:rsidR="00E2159F">
        <w:rPr>
          <w:noProof/>
          <w:lang w:eastAsia="es-MX"/>
        </w:rPr>
        <w:t>ficiencia total del</w:t>
      </w:r>
      <w:r w:rsidR="007853CF" w:rsidRPr="00E2159F">
        <w:rPr>
          <w:noProof/>
          <w:lang w:eastAsia="es-MX"/>
        </w:rPr>
        <w:t xml:space="preserve"> 81%</w:t>
      </w:r>
      <w:r w:rsidR="00E2159F">
        <w:rPr>
          <w:noProof/>
          <w:lang w:eastAsia="es-MX"/>
        </w:rPr>
        <w:t xml:space="preserve">. </w:t>
      </w:r>
      <w:r w:rsidR="007853CF">
        <w:rPr>
          <w:noProof/>
          <w:lang w:eastAsia="es-MX"/>
        </w:rPr>
        <w:t>La superficie a sembrar se consideró estable en 32,500 ha</w:t>
      </w:r>
      <w:r w:rsidR="00E2159F">
        <w:rPr>
          <w:noProof/>
          <w:lang w:eastAsia="es-MX"/>
        </w:rPr>
        <w:t>,</w:t>
      </w:r>
      <w:r w:rsidR="007853CF">
        <w:rPr>
          <w:noProof/>
          <w:lang w:eastAsia="es-MX"/>
        </w:rPr>
        <w:t xml:space="preserve"> y en un segundo caso un incremento de superficie del 40% equivalente a 45,500 ha</w:t>
      </w:r>
      <w:r w:rsidR="00E2159F">
        <w:rPr>
          <w:noProof/>
          <w:lang w:eastAsia="es-MX"/>
        </w:rPr>
        <w:t>.</w:t>
      </w:r>
    </w:p>
    <w:p w:rsidR="007853CF" w:rsidRDefault="007853CF" w:rsidP="007853CF">
      <w:pPr>
        <w:rPr>
          <w:noProof/>
          <w:lang w:eastAsia="es-MX"/>
        </w:rPr>
      </w:pPr>
      <w:r>
        <w:rPr>
          <w:noProof/>
          <w:lang w:eastAsia="es-MX"/>
        </w:rPr>
        <w:t xml:space="preserve">Este escenario toma en consideración inversiones del orden de $891 </w:t>
      </w:r>
      <w:r w:rsidR="00E2159F">
        <w:rPr>
          <w:noProof/>
          <w:lang w:eastAsia="es-MX"/>
        </w:rPr>
        <w:t>MDP</w:t>
      </w:r>
      <w:r>
        <w:rPr>
          <w:noProof/>
          <w:lang w:eastAsia="es-MX"/>
        </w:rPr>
        <w:t xml:space="preserve"> para el caso de mantener la superficie de riego constante, o bien</w:t>
      </w:r>
      <w:r w:rsidR="00E2159F">
        <w:rPr>
          <w:noProof/>
          <w:lang w:eastAsia="es-MX"/>
        </w:rPr>
        <w:t>,</w:t>
      </w:r>
      <w:r>
        <w:rPr>
          <w:noProof/>
          <w:lang w:eastAsia="es-MX"/>
        </w:rPr>
        <w:t xml:space="preserve"> si se incrementa</w:t>
      </w:r>
      <w:r w:rsidR="00E2159F">
        <w:rPr>
          <w:noProof/>
          <w:lang w:eastAsia="es-MX"/>
        </w:rPr>
        <w:t>ra</w:t>
      </w:r>
      <w:r>
        <w:rPr>
          <w:noProof/>
          <w:lang w:eastAsia="es-MX"/>
        </w:rPr>
        <w:t xml:space="preserve"> en un 40%</w:t>
      </w:r>
      <w:r w:rsidR="00E2159F">
        <w:rPr>
          <w:noProof/>
          <w:lang w:eastAsia="es-MX"/>
        </w:rPr>
        <w:t xml:space="preserve">, </w:t>
      </w:r>
      <w:r>
        <w:rPr>
          <w:noProof/>
          <w:lang w:eastAsia="es-MX"/>
        </w:rPr>
        <w:t xml:space="preserve">una inversión de alrededor de $1,387 </w:t>
      </w:r>
      <w:r w:rsidR="00E2159F">
        <w:rPr>
          <w:noProof/>
          <w:lang w:eastAsia="es-MX"/>
        </w:rPr>
        <w:t>MDP</w:t>
      </w:r>
      <w:r>
        <w:rPr>
          <w:noProof/>
          <w:lang w:eastAsia="es-MX"/>
        </w:rPr>
        <w:t>.</w:t>
      </w:r>
    </w:p>
    <w:p w:rsidR="007853CF" w:rsidRDefault="007853CF" w:rsidP="001527C0">
      <w:pPr>
        <w:pStyle w:val="Tabla1cap6"/>
      </w:pPr>
      <w:bookmarkStart w:id="174" w:name="_Toc262468568"/>
      <w:r w:rsidRPr="00DD7BE5">
        <w:t>Estimación de la demanda de volúmenes de uso agrícola en un escenario de máxima tecnificación, en el largo plazo (más de 10 años)</w:t>
      </w:r>
      <w:bookmarkEnd w:id="174"/>
    </w:p>
    <w:tbl>
      <w:tblPr>
        <w:tblW w:w="9904" w:type="dxa"/>
        <w:jc w:val="center"/>
        <w:tblBorders>
          <w:top w:val="single" w:sz="12" w:space="0" w:color="008000"/>
          <w:bottom w:val="single" w:sz="12" w:space="0" w:color="008000"/>
        </w:tblBorders>
        <w:tblLook w:val="04A0"/>
      </w:tblPr>
      <w:tblGrid>
        <w:gridCol w:w="1351"/>
        <w:gridCol w:w="1260"/>
        <w:gridCol w:w="1195"/>
        <w:gridCol w:w="1083"/>
        <w:gridCol w:w="1366"/>
        <w:gridCol w:w="1137"/>
        <w:gridCol w:w="1102"/>
        <w:gridCol w:w="1410"/>
      </w:tblGrid>
      <w:tr w:rsidR="007853CF" w:rsidRPr="00360393" w:rsidTr="002E4597">
        <w:trPr>
          <w:trHeight w:val="20"/>
          <w:tblHeader/>
          <w:jc w:val="center"/>
        </w:trPr>
        <w:tc>
          <w:tcPr>
            <w:tcW w:w="1351" w:type="dxa"/>
            <w:tcBorders>
              <w:top w:val="single" w:sz="8" w:space="0" w:color="008000"/>
              <w:bottom w:val="nil"/>
            </w:tcBorders>
            <w:shd w:val="clear" w:color="auto" w:fill="auto"/>
            <w:noWrap/>
            <w:hideMark/>
          </w:tcPr>
          <w:p w:rsidR="007853CF" w:rsidRPr="00360393" w:rsidRDefault="007853CF" w:rsidP="002E4597">
            <w:pPr>
              <w:spacing w:before="0" w:after="0" w:line="240" w:lineRule="auto"/>
              <w:ind w:firstLine="0"/>
              <w:jc w:val="center"/>
              <w:rPr>
                <w:rFonts w:eastAsia="Times New Roman" w:cs="Arial"/>
                <w:color w:val="000000"/>
                <w:sz w:val="18"/>
                <w:szCs w:val="18"/>
              </w:rPr>
            </w:pPr>
            <w:r w:rsidRPr="00360393">
              <w:rPr>
                <w:rFonts w:eastAsia="Times New Roman" w:cs="Arial"/>
                <w:color w:val="000000"/>
                <w:sz w:val="18"/>
                <w:szCs w:val="18"/>
              </w:rPr>
              <w:t>Estado</w:t>
            </w:r>
          </w:p>
        </w:tc>
        <w:tc>
          <w:tcPr>
            <w:tcW w:w="1260" w:type="dxa"/>
            <w:tcBorders>
              <w:top w:val="single" w:sz="8" w:space="0" w:color="008000"/>
              <w:bottom w:val="nil"/>
            </w:tcBorders>
            <w:shd w:val="clear" w:color="auto" w:fill="auto"/>
            <w:noWrap/>
            <w:hideMark/>
          </w:tcPr>
          <w:p w:rsidR="007853CF" w:rsidRPr="00360393" w:rsidRDefault="007853CF" w:rsidP="002E4597">
            <w:pPr>
              <w:spacing w:before="0" w:after="0" w:line="240" w:lineRule="auto"/>
              <w:ind w:firstLine="0"/>
              <w:jc w:val="center"/>
              <w:rPr>
                <w:rFonts w:eastAsia="Times New Roman" w:cs="Arial"/>
                <w:color w:val="000000"/>
                <w:sz w:val="18"/>
                <w:szCs w:val="18"/>
              </w:rPr>
            </w:pPr>
            <w:r w:rsidRPr="00360393">
              <w:rPr>
                <w:rFonts w:eastAsia="Times New Roman" w:cs="Arial"/>
                <w:color w:val="000000"/>
                <w:sz w:val="18"/>
                <w:szCs w:val="18"/>
              </w:rPr>
              <w:t>Tipo de</w:t>
            </w:r>
          </w:p>
        </w:tc>
        <w:tc>
          <w:tcPr>
            <w:tcW w:w="2278" w:type="dxa"/>
            <w:gridSpan w:val="2"/>
            <w:tcBorders>
              <w:top w:val="single" w:sz="8" w:space="0" w:color="008000"/>
              <w:bottom w:val="nil"/>
            </w:tcBorders>
            <w:shd w:val="clear" w:color="auto" w:fill="auto"/>
            <w:noWrap/>
            <w:hideMark/>
          </w:tcPr>
          <w:p w:rsidR="007853CF" w:rsidRPr="00360393" w:rsidRDefault="007853CF" w:rsidP="002E4597">
            <w:pPr>
              <w:spacing w:before="0" w:after="0" w:line="240" w:lineRule="auto"/>
              <w:ind w:firstLine="0"/>
              <w:jc w:val="center"/>
              <w:rPr>
                <w:rFonts w:eastAsia="Times New Roman" w:cs="Arial"/>
                <w:color w:val="000000"/>
                <w:sz w:val="18"/>
                <w:szCs w:val="18"/>
              </w:rPr>
            </w:pPr>
            <w:r w:rsidRPr="00360393">
              <w:rPr>
                <w:rFonts w:eastAsia="Times New Roman" w:cs="Arial"/>
                <w:color w:val="000000"/>
                <w:sz w:val="18"/>
                <w:szCs w:val="18"/>
              </w:rPr>
              <w:t>Superficie (ha)</w:t>
            </w:r>
          </w:p>
        </w:tc>
        <w:tc>
          <w:tcPr>
            <w:tcW w:w="1366" w:type="dxa"/>
            <w:tcBorders>
              <w:top w:val="single" w:sz="8" w:space="0" w:color="008000"/>
              <w:bottom w:val="nil"/>
            </w:tcBorders>
            <w:shd w:val="clear" w:color="auto" w:fill="auto"/>
            <w:noWrap/>
            <w:hideMark/>
          </w:tcPr>
          <w:p w:rsidR="007853CF" w:rsidRPr="00360393" w:rsidRDefault="007853CF" w:rsidP="002E4597">
            <w:pPr>
              <w:spacing w:before="0" w:after="0" w:line="240" w:lineRule="auto"/>
              <w:ind w:firstLine="0"/>
              <w:jc w:val="center"/>
              <w:rPr>
                <w:rFonts w:eastAsia="Times New Roman" w:cs="Arial"/>
                <w:color w:val="000000"/>
                <w:sz w:val="18"/>
                <w:szCs w:val="18"/>
              </w:rPr>
            </w:pPr>
            <w:r w:rsidRPr="00360393">
              <w:rPr>
                <w:rFonts w:eastAsia="Times New Roman" w:cs="Arial"/>
                <w:color w:val="000000"/>
                <w:sz w:val="18"/>
                <w:szCs w:val="18"/>
              </w:rPr>
              <w:t>Distribución</w:t>
            </w:r>
          </w:p>
        </w:tc>
        <w:tc>
          <w:tcPr>
            <w:tcW w:w="3649" w:type="dxa"/>
            <w:gridSpan w:val="3"/>
            <w:tcBorders>
              <w:top w:val="single" w:sz="8" w:space="0" w:color="008000"/>
              <w:bottom w:val="single" w:sz="8" w:space="0" w:color="008000"/>
            </w:tcBorders>
            <w:shd w:val="clear" w:color="auto" w:fill="auto"/>
          </w:tcPr>
          <w:p w:rsidR="007853CF" w:rsidRPr="00360393" w:rsidRDefault="007853CF" w:rsidP="002E4597">
            <w:pPr>
              <w:spacing w:before="0" w:after="0" w:line="240" w:lineRule="auto"/>
              <w:ind w:firstLine="0"/>
              <w:jc w:val="center"/>
              <w:rPr>
                <w:rFonts w:eastAsia="Times New Roman" w:cs="Arial"/>
                <w:color w:val="000000"/>
                <w:sz w:val="18"/>
                <w:szCs w:val="18"/>
              </w:rPr>
            </w:pPr>
            <w:r w:rsidRPr="00360393">
              <w:rPr>
                <w:rFonts w:eastAsia="Times New Roman" w:cs="Arial"/>
                <w:color w:val="000000"/>
                <w:sz w:val="18"/>
                <w:szCs w:val="18"/>
              </w:rPr>
              <w:t>Volumen (Mm</w:t>
            </w:r>
            <w:r w:rsidRPr="00360393">
              <w:rPr>
                <w:rFonts w:eastAsia="Times New Roman" w:cs="Arial"/>
                <w:color w:val="000000"/>
                <w:sz w:val="18"/>
                <w:szCs w:val="18"/>
                <w:vertAlign w:val="superscript"/>
              </w:rPr>
              <w:t>3</w:t>
            </w:r>
            <w:r w:rsidRPr="00360393">
              <w:rPr>
                <w:rFonts w:eastAsia="Times New Roman" w:cs="Arial"/>
                <w:color w:val="000000"/>
                <w:sz w:val="18"/>
                <w:szCs w:val="18"/>
              </w:rPr>
              <w:t>)</w:t>
            </w:r>
          </w:p>
        </w:tc>
      </w:tr>
      <w:tr w:rsidR="007853CF" w:rsidRPr="00F05CF7" w:rsidTr="002E4597">
        <w:trPr>
          <w:trHeight w:val="20"/>
          <w:tblHeader/>
          <w:jc w:val="center"/>
        </w:trPr>
        <w:tc>
          <w:tcPr>
            <w:tcW w:w="1351"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center"/>
              <w:rPr>
                <w:rFonts w:eastAsia="Times New Roman" w:cs="Arial"/>
                <w:sz w:val="18"/>
                <w:szCs w:val="18"/>
              </w:rPr>
            </w:pPr>
            <w:r w:rsidRPr="00F05CF7">
              <w:rPr>
                <w:rFonts w:eastAsia="Times New Roman" w:cs="Arial"/>
                <w:sz w:val="18"/>
                <w:szCs w:val="18"/>
              </w:rPr>
              <w:t>Cultivo</w:t>
            </w:r>
          </w:p>
        </w:tc>
        <w:tc>
          <w:tcPr>
            <w:tcW w:w="1195"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40% más</w:t>
            </w:r>
          </w:p>
        </w:tc>
        <w:tc>
          <w:tcPr>
            <w:tcW w:w="1083"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Actual</w:t>
            </w:r>
          </w:p>
        </w:tc>
        <w:tc>
          <w:tcPr>
            <w:tcW w:w="1366"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proofErr w:type="spellStart"/>
            <w:r w:rsidRPr="00F05CF7">
              <w:rPr>
                <w:rFonts w:eastAsia="Times New Roman" w:cs="Arial"/>
                <w:sz w:val="18"/>
                <w:szCs w:val="18"/>
              </w:rPr>
              <w:t>Cíc</w:t>
            </w:r>
            <w:proofErr w:type="spellEnd"/>
            <w:r w:rsidRPr="00F05CF7">
              <w:rPr>
                <w:rFonts w:eastAsia="Times New Roman" w:cs="Arial"/>
                <w:sz w:val="18"/>
                <w:szCs w:val="18"/>
              </w:rPr>
              <w:t>-Perenne</w:t>
            </w:r>
          </w:p>
        </w:tc>
        <w:tc>
          <w:tcPr>
            <w:tcW w:w="1137" w:type="dxa"/>
            <w:tcBorders>
              <w:top w:val="single" w:sz="8" w:space="0" w:color="008000"/>
              <w:bottom w:val="single" w:sz="8" w:space="0" w:color="008000"/>
            </w:tcBorders>
            <w:shd w:val="clear" w:color="auto" w:fill="auto"/>
          </w:tcPr>
          <w:p w:rsidR="007853CF" w:rsidRPr="00F05CF7" w:rsidRDefault="007853CF" w:rsidP="002E4597">
            <w:pPr>
              <w:spacing w:before="0" w:after="0" w:line="240" w:lineRule="auto"/>
              <w:ind w:firstLine="0"/>
              <w:jc w:val="center"/>
              <w:rPr>
                <w:rFonts w:eastAsia="Times New Roman" w:cs="Arial"/>
                <w:sz w:val="18"/>
                <w:szCs w:val="18"/>
              </w:rPr>
            </w:pPr>
            <w:proofErr w:type="spellStart"/>
            <w:r w:rsidRPr="00F05CF7">
              <w:rPr>
                <w:rFonts w:eastAsia="Times New Roman" w:cs="Arial"/>
                <w:sz w:val="18"/>
                <w:szCs w:val="18"/>
              </w:rPr>
              <w:t>Sup</w:t>
            </w:r>
            <w:proofErr w:type="spellEnd"/>
            <w:r w:rsidRPr="00F05CF7">
              <w:rPr>
                <w:rFonts w:eastAsia="Times New Roman" w:cs="Arial"/>
                <w:sz w:val="18"/>
                <w:szCs w:val="18"/>
              </w:rPr>
              <w:t xml:space="preserve"> Actual</w:t>
            </w:r>
          </w:p>
        </w:tc>
        <w:tc>
          <w:tcPr>
            <w:tcW w:w="1102" w:type="dxa"/>
            <w:tcBorders>
              <w:top w:val="single" w:sz="8" w:space="0" w:color="008000"/>
              <w:bottom w:val="single" w:sz="8" w:space="0" w:color="008000"/>
            </w:tcBorders>
            <w:shd w:val="clear" w:color="auto" w:fill="auto"/>
          </w:tcPr>
          <w:p w:rsidR="007853CF" w:rsidRPr="00F05CF7" w:rsidRDefault="007853CF" w:rsidP="002E4597">
            <w:pPr>
              <w:spacing w:before="0" w:after="0" w:line="240" w:lineRule="auto"/>
              <w:ind w:firstLine="0"/>
              <w:jc w:val="center"/>
              <w:rPr>
                <w:rFonts w:eastAsia="Times New Roman" w:cs="Arial"/>
                <w:sz w:val="18"/>
                <w:szCs w:val="18"/>
              </w:rPr>
            </w:pPr>
            <w:r w:rsidRPr="00F05CF7">
              <w:rPr>
                <w:rFonts w:eastAsia="Times New Roman" w:cs="Arial"/>
                <w:sz w:val="18"/>
                <w:szCs w:val="18"/>
              </w:rPr>
              <w:t>40% más</w:t>
            </w:r>
          </w:p>
        </w:tc>
        <w:tc>
          <w:tcPr>
            <w:tcW w:w="1410" w:type="dxa"/>
            <w:tcBorders>
              <w:top w:val="single" w:sz="8" w:space="0" w:color="008000"/>
              <w:bottom w:val="single" w:sz="8" w:space="0" w:color="008000"/>
            </w:tcBorders>
          </w:tcPr>
          <w:p w:rsidR="007853CF" w:rsidRPr="00F05CF7" w:rsidRDefault="007853CF" w:rsidP="002E4597">
            <w:pPr>
              <w:spacing w:before="0" w:after="0" w:line="240" w:lineRule="auto"/>
              <w:ind w:firstLine="0"/>
              <w:jc w:val="center"/>
              <w:rPr>
                <w:rFonts w:eastAsia="Times New Roman" w:cs="Arial"/>
                <w:sz w:val="18"/>
                <w:szCs w:val="18"/>
              </w:rPr>
            </w:pPr>
            <w:r w:rsidRPr="00F05CF7">
              <w:rPr>
                <w:rFonts w:eastAsia="Times New Roman" w:cs="Arial"/>
                <w:sz w:val="18"/>
                <w:szCs w:val="18"/>
              </w:rPr>
              <w:t>Concesionado</w:t>
            </w:r>
          </w:p>
        </w:tc>
      </w:tr>
      <w:tr w:rsidR="007853CF" w:rsidRPr="00F05CF7" w:rsidTr="002E4597">
        <w:trPr>
          <w:trHeight w:val="20"/>
          <w:jc w:val="center"/>
        </w:trPr>
        <w:tc>
          <w:tcPr>
            <w:tcW w:w="1351"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Puebla</w:t>
            </w:r>
          </w:p>
        </w:tc>
        <w:tc>
          <w:tcPr>
            <w:tcW w:w="1260"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Cíclico</w:t>
            </w:r>
          </w:p>
        </w:tc>
        <w:tc>
          <w:tcPr>
            <w:tcW w:w="1195"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23,420 </w:t>
            </w:r>
          </w:p>
        </w:tc>
        <w:tc>
          <w:tcPr>
            <w:tcW w:w="1083"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16,320 </w:t>
            </w:r>
          </w:p>
        </w:tc>
        <w:tc>
          <w:tcPr>
            <w:tcW w:w="1366"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82%</w:t>
            </w:r>
          </w:p>
        </w:tc>
        <w:tc>
          <w:tcPr>
            <w:tcW w:w="1137"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50,769 </w:t>
            </w:r>
          </w:p>
        </w:tc>
        <w:tc>
          <w:tcPr>
            <w:tcW w:w="1102"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71,076 </w:t>
            </w:r>
          </w:p>
        </w:tc>
        <w:tc>
          <w:tcPr>
            <w:tcW w:w="1410" w:type="dxa"/>
            <w:tcBorders>
              <w:top w:val="single" w:sz="8" w:space="0" w:color="008000"/>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bottom w:val="nil"/>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Perenne</w:t>
            </w:r>
          </w:p>
        </w:tc>
        <w:tc>
          <w:tcPr>
            <w:tcW w:w="1195" w:type="dxa"/>
            <w:tcBorders>
              <w:bottom w:val="nil"/>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5,140</w:t>
            </w:r>
          </w:p>
        </w:tc>
        <w:tc>
          <w:tcPr>
            <w:tcW w:w="1083" w:type="dxa"/>
            <w:tcBorders>
              <w:bottom w:val="nil"/>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4,080 </w:t>
            </w:r>
          </w:p>
        </w:tc>
        <w:tc>
          <w:tcPr>
            <w:tcW w:w="1366" w:type="dxa"/>
            <w:tcBorders>
              <w:bottom w:val="nil"/>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18%</w:t>
            </w:r>
          </w:p>
        </w:tc>
        <w:tc>
          <w:tcPr>
            <w:tcW w:w="1137" w:type="dxa"/>
            <w:tcBorders>
              <w:bottom w:val="nil"/>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47,864 </w:t>
            </w:r>
          </w:p>
        </w:tc>
        <w:tc>
          <w:tcPr>
            <w:tcW w:w="1102" w:type="dxa"/>
            <w:tcBorders>
              <w:bottom w:val="nil"/>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67,009 </w:t>
            </w:r>
          </w:p>
        </w:tc>
        <w:tc>
          <w:tcPr>
            <w:tcW w:w="1410" w:type="dxa"/>
            <w:tcBorders>
              <w:bottom w:val="nil"/>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b/>
                <w:sz w:val="18"/>
                <w:szCs w:val="18"/>
              </w:rPr>
            </w:pPr>
            <w:r w:rsidRPr="00F05CF7">
              <w:rPr>
                <w:rFonts w:eastAsia="Times New Roman" w:cs="Arial"/>
                <w:b/>
                <w:sz w:val="18"/>
                <w:szCs w:val="18"/>
              </w:rPr>
              <w:t>Total</w:t>
            </w:r>
          </w:p>
        </w:tc>
        <w:tc>
          <w:tcPr>
            <w:tcW w:w="1195"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28,560 </w:t>
            </w:r>
          </w:p>
        </w:tc>
        <w:tc>
          <w:tcPr>
            <w:tcW w:w="1083"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 xml:space="preserve">   20,400 </w:t>
            </w:r>
          </w:p>
        </w:tc>
        <w:tc>
          <w:tcPr>
            <w:tcW w:w="1366"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100% </w:t>
            </w:r>
          </w:p>
        </w:tc>
        <w:tc>
          <w:tcPr>
            <w:tcW w:w="1137"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98,632 </w:t>
            </w:r>
          </w:p>
        </w:tc>
        <w:tc>
          <w:tcPr>
            <w:tcW w:w="1102"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138,085 </w:t>
            </w:r>
          </w:p>
        </w:tc>
        <w:tc>
          <w:tcPr>
            <w:tcW w:w="1410" w:type="dxa"/>
            <w:tcBorders>
              <w:top w:val="nil"/>
              <w:bottom w:val="single" w:sz="8" w:space="0" w:color="008000"/>
            </w:tcBorders>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132.6</w:t>
            </w: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Tlaxcala</w:t>
            </w:r>
          </w:p>
        </w:tc>
        <w:tc>
          <w:tcPr>
            <w:tcW w:w="1260"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Cíclico</w:t>
            </w:r>
          </w:p>
        </w:tc>
        <w:tc>
          <w:tcPr>
            <w:tcW w:w="1195"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11,470 </w:t>
            </w:r>
          </w:p>
        </w:tc>
        <w:tc>
          <w:tcPr>
            <w:tcW w:w="1083"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7,644 </w:t>
            </w:r>
          </w:p>
        </w:tc>
        <w:tc>
          <w:tcPr>
            <w:tcW w:w="1366"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90%</w:t>
            </w:r>
          </w:p>
        </w:tc>
        <w:tc>
          <w:tcPr>
            <w:tcW w:w="1137"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23,779 </w:t>
            </w:r>
          </w:p>
        </w:tc>
        <w:tc>
          <w:tcPr>
            <w:tcW w:w="1102"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33,291 </w:t>
            </w:r>
          </w:p>
        </w:tc>
        <w:tc>
          <w:tcPr>
            <w:tcW w:w="1410" w:type="dxa"/>
            <w:tcBorders>
              <w:top w:val="single" w:sz="8" w:space="0" w:color="008000"/>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bottom w:val="nil"/>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Perenne</w:t>
            </w:r>
          </w:p>
        </w:tc>
        <w:tc>
          <w:tcPr>
            <w:tcW w:w="1195" w:type="dxa"/>
            <w:tcBorders>
              <w:bottom w:val="nil"/>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1,270 </w:t>
            </w:r>
          </w:p>
        </w:tc>
        <w:tc>
          <w:tcPr>
            <w:tcW w:w="1083" w:type="dxa"/>
            <w:tcBorders>
              <w:bottom w:val="nil"/>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1,456 </w:t>
            </w:r>
          </w:p>
        </w:tc>
        <w:tc>
          <w:tcPr>
            <w:tcW w:w="1366" w:type="dxa"/>
            <w:tcBorders>
              <w:bottom w:val="nil"/>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10%</w:t>
            </w:r>
          </w:p>
        </w:tc>
        <w:tc>
          <w:tcPr>
            <w:tcW w:w="1137" w:type="dxa"/>
            <w:tcBorders>
              <w:bottom w:val="nil"/>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17,081 </w:t>
            </w:r>
          </w:p>
        </w:tc>
        <w:tc>
          <w:tcPr>
            <w:tcW w:w="1102" w:type="dxa"/>
            <w:tcBorders>
              <w:bottom w:val="nil"/>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23,913 </w:t>
            </w:r>
          </w:p>
        </w:tc>
        <w:tc>
          <w:tcPr>
            <w:tcW w:w="1410" w:type="dxa"/>
            <w:tcBorders>
              <w:bottom w:val="nil"/>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b/>
                <w:sz w:val="18"/>
                <w:szCs w:val="18"/>
              </w:rPr>
            </w:pPr>
            <w:r w:rsidRPr="00F05CF7">
              <w:rPr>
                <w:rFonts w:eastAsia="Times New Roman" w:cs="Arial"/>
                <w:b/>
                <w:sz w:val="18"/>
                <w:szCs w:val="18"/>
              </w:rPr>
              <w:t>Total</w:t>
            </w:r>
          </w:p>
        </w:tc>
        <w:tc>
          <w:tcPr>
            <w:tcW w:w="1195"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12,740 </w:t>
            </w:r>
          </w:p>
        </w:tc>
        <w:tc>
          <w:tcPr>
            <w:tcW w:w="1083"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 xml:space="preserve">     9,100 </w:t>
            </w:r>
          </w:p>
        </w:tc>
        <w:tc>
          <w:tcPr>
            <w:tcW w:w="1366"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100% </w:t>
            </w:r>
          </w:p>
        </w:tc>
        <w:tc>
          <w:tcPr>
            <w:tcW w:w="1137"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40,860 </w:t>
            </w:r>
          </w:p>
        </w:tc>
        <w:tc>
          <w:tcPr>
            <w:tcW w:w="1102"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57,204 </w:t>
            </w:r>
          </w:p>
        </w:tc>
        <w:tc>
          <w:tcPr>
            <w:tcW w:w="1410" w:type="dxa"/>
            <w:tcBorders>
              <w:top w:val="nil"/>
              <w:bottom w:val="single" w:sz="8" w:space="0" w:color="008000"/>
            </w:tcBorders>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39.8</w:t>
            </w: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Ver</w:t>
            </w:r>
          </w:p>
        </w:tc>
        <w:tc>
          <w:tcPr>
            <w:tcW w:w="1260"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Cíclico</w:t>
            </w:r>
          </w:p>
        </w:tc>
        <w:tc>
          <w:tcPr>
            <w:tcW w:w="1195"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4,200 </w:t>
            </w:r>
          </w:p>
        </w:tc>
        <w:tc>
          <w:tcPr>
            <w:tcW w:w="1083"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3,000 </w:t>
            </w:r>
          </w:p>
        </w:tc>
        <w:tc>
          <w:tcPr>
            <w:tcW w:w="1366"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100%</w:t>
            </w:r>
          </w:p>
        </w:tc>
        <w:tc>
          <w:tcPr>
            <w:tcW w:w="1137"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10,949 </w:t>
            </w:r>
          </w:p>
        </w:tc>
        <w:tc>
          <w:tcPr>
            <w:tcW w:w="1102"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15,328 </w:t>
            </w:r>
          </w:p>
        </w:tc>
        <w:tc>
          <w:tcPr>
            <w:tcW w:w="1410" w:type="dxa"/>
            <w:tcBorders>
              <w:top w:val="single" w:sz="8" w:space="0" w:color="008000"/>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bottom w:val="nil"/>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Perenne</w:t>
            </w:r>
          </w:p>
        </w:tc>
        <w:tc>
          <w:tcPr>
            <w:tcW w:w="1195" w:type="dxa"/>
            <w:tcBorders>
              <w:bottom w:val="nil"/>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p>
        </w:tc>
        <w:tc>
          <w:tcPr>
            <w:tcW w:w="1083" w:type="dxa"/>
            <w:tcBorders>
              <w:bottom w:val="nil"/>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w:t>
            </w:r>
          </w:p>
        </w:tc>
        <w:tc>
          <w:tcPr>
            <w:tcW w:w="1366" w:type="dxa"/>
            <w:tcBorders>
              <w:bottom w:val="nil"/>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w:t>
            </w:r>
          </w:p>
        </w:tc>
        <w:tc>
          <w:tcPr>
            <w:tcW w:w="1137" w:type="dxa"/>
            <w:tcBorders>
              <w:bottom w:val="nil"/>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   </w:t>
            </w:r>
          </w:p>
        </w:tc>
        <w:tc>
          <w:tcPr>
            <w:tcW w:w="1102" w:type="dxa"/>
            <w:tcBorders>
              <w:bottom w:val="nil"/>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   </w:t>
            </w:r>
          </w:p>
        </w:tc>
        <w:tc>
          <w:tcPr>
            <w:tcW w:w="1410" w:type="dxa"/>
            <w:tcBorders>
              <w:bottom w:val="nil"/>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b/>
                <w:sz w:val="18"/>
                <w:szCs w:val="18"/>
              </w:rPr>
            </w:pPr>
            <w:r w:rsidRPr="00F05CF7">
              <w:rPr>
                <w:rFonts w:eastAsia="Times New Roman" w:cs="Arial"/>
                <w:b/>
                <w:sz w:val="18"/>
                <w:szCs w:val="18"/>
              </w:rPr>
              <w:t>Total</w:t>
            </w:r>
          </w:p>
        </w:tc>
        <w:tc>
          <w:tcPr>
            <w:tcW w:w="1195"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4,200 </w:t>
            </w:r>
          </w:p>
        </w:tc>
        <w:tc>
          <w:tcPr>
            <w:tcW w:w="1083"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 xml:space="preserve">     3,000 </w:t>
            </w:r>
          </w:p>
        </w:tc>
        <w:tc>
          <w:tcPr>
            <w:tcW w:w="1366" w:type="dxa"/>
            <w:tcBorders>
              <w:top w:val="nil"/>
              <w:bottom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100% </w:t>
            </w:r>
          </w:p>
        </w:tc>
        <w:tc>
          <w:tcPr>
            <w:tcW w:w="1137"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10,949 </w:t>
            </w:r>
          </w:p>
        </w:tc>
        <w:tc>
          <w:tcPr>
            <w:tcW w:w="1102" w:type="dxa"/>
            <w:tcBorders>
              <w:top w:val="nil"/>
              <w:bottom w:val="single" w:sz="8" w:space="0" w:color="008000"/>
            </w:tcBorders>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15,328 </w:t>
            </w:r>
          </w:p>
        </w:tc>
        <w:tc>
          <w:tcPr>
            <w:tcW w:w="1410" w:type="dxa"/>
            <w:tcBorders>
              <w:top w:val="nil"/>
              <w:bottom w:val="single" w:sz="8" w:space="0" w:color="008000"/>
            </w:tcBorders>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19.7</w:t>
            </w: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Total</w:t>
            </w:r>
          </w:p>
        </w:tc>
        <w:tc>
          <w:tcPr>
            <w:tcW w:w="1260"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Cíclico</w:t>
            </w:r>
          </w:p>
        </w:tc>
        <w:tc>
          <w:tcPr>
            <w:tcW w:w="1195"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39,090 </w:t>
            </w:r>
          </w:p>
        </w:tc>
        <w:tc>
          <w:tcPr>
            <w:tcW w:w="1083"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29,964 </w:t>
            </w:r>
          </w:p>
        </w:tc>
        <w:tc>
          <w:tcPr>
            <w:tcW w:w="1366" w:type="dxa"/>
            <w:tcBorders>
              <w:top w:val="single" w:sz="8" w:space="0" w:color="008000"/>
            </w:tcBorders>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86%</w:t>
            </w:r>
          </w:p>
        </w:tc>
        <w:tc>
          <w:tcPr>
            <w:tcW w:w="1137" w:type="dxa"/>
            <w:tcBorders>
              <w:top w:val="single" w:sz="8" w:space="0" w:color="008000"/>
            </w:tcBorders>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85,497 </w:t>
            </w:r>
          </w:p>
        </w:tc>
        <w:tc>
          <w:tcPr>
            <w:tcW w:w="1102" w:type="dxa"/>
            <w:tcBorders>
              <w:top w:val="single" w:sz="8" w:space="0" w:color="008000"/>
            </w:tcBorders>
            <w:shd w:val="clear" w:color="auto" w:fill="FFFFFF"/>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119,695 </w:t>
            </w:r>
          </w:p>
        </w:tc>
        <w:tc>
          <w:tcPr>
            <w:tcW w:w="1410" w:type="dxa"/>
            <w:tcBorders>
              <w:top w:val="single" w:sz="8" w:space="0" w:color="008000"/>
            </w:tcBorders>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Perenne</w:t>
            </w:r>
          </w:p>
        </w:tc>
        <w:tc>
          <w:tcPr>
            <w:tcW w:w="1195" w:type="dxa"/>
            <w:shd w:val="clear" w:color="auto" w:fill="auto"/>
            <w:noWrap/>
            <w:hideMark/>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6,410 </w:t>
            </w:r>
          </w:p>
        </w:tc>
        <w:tc>
          <w:tcPr>
            <w:tcW w:w="1083" w:type="dxa"/>
            <w:shd w:val="clear" w:color="auto" w:fill="auto"/>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 xml:space="preserve">     5,536 </w:t>
            </w:r>
          </w:p>
        </w:tc>
        <w:tc>
          <w:tcPr>
            <w:tcW w:w="1366" w:type="dxa"/>
            <w:shd w:val="clear" w:color="auto" w:fill="auto"/>
            <w:noWrap/>
            <w:hideMark/>
          </w:tcPr>
          <w:p w:rsidR="007853CF" w:rsidRPr="00F05CF7" w:rsidRDefault="007853CF" w:rsidP="002E4597">
            <w:pPr>
              <w:spacing w:before="0" w:after="0" w:line="240" w:lineRule="auto"/>
              <w:ind w:firstLine="0"/>
              <w:jc w:val="right"/>
              <w:rPr>
                <w:rFonts w:eastAsia="Times New Roman" w:cs="Arial"/>
                <w:sz w:val="18"/>
                <w:szCs w:val="18"/>
              </w:rPr>
            </w:pPr>
            <w:r w:rsidRPr="00F05CF7">
              <w:rPr>
                <w:rFonts w:eastAsia="Times New Roman" w:cs="Arial"/>
                <w:sz w:val="18"/>
                <w:szCs w:val="18"/>
              </w:rPr>
              <w:t>14%</w:t>
            </w:r>
          </w:p>
        </w:tc>
        <w:tc>
          <w:tcPr>
            <w:tcW w:w="1137" w:type="dxa"/>
            <w:shd w:val="clear" w:color="auto" w:fill="auto"/>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64,944 </w:t>
            </w:r>
          </w:p>
        </w:tc>
        <w:tc>
          <w:tcPr>
            <w:tcW w:w="1102" w:type="dxa"/>
            <w:shd w:val="clear" w:color="auto" w:fill="FFFFFF"/>
          </w:tcPr>
          <w:p w:rsidR="007853CF" w:rsidRPr="00F05CF7" w:rsidRDefault="007853CF" w:rsidP="002E4597">
            <w:pPr>
              <w:spacing w:before="0" w:after="0" w:line="240" w:lineRule="auto"/>
              <w:ind w:firstLine="0"/>
              <w:jc w:val="right"/>
              <w:rPr>
                <w:rFonts w:cs="Arial"/>
                <w:sz w:val="18"/>
                <w:szCs w:val="18"/>
              </w:rPr>
            </w:pPr>
            <w:r w:rsidRPr="00F05CF7">
              <w:rPr>
                <w:rFonts w:cs="Arial"/>
                <w:sz w:val="18"/>
                <w:szCs w:val="18"/>
              </w:rPr>
              <w:t xml:space="preserve">    90,922 </w:t>
            </w:r>
          </w:p>
        </w:tc>
        <w:tc>
          <w:tcPr>
            <w:tcW w:w="1410" w:type="dxa"/>
          </w:tcPr>
          <w:p w:rsidR="007853CF" w:rsidRPr="00F05CF7" w:rsidRDefault="007853CF" w:rsidP="002E4597">
            <w:pPr>
              <w:spacing w:before="0" w:after="0" w:line="240" w:lineRule="auto"/>
              <w:ind w:firstLine="0"/>
              <w:jc w:val="right"/>
              <w:rPr>
                <w:rFonts w:cs="Arial"/>
                <w:sz w:val="18"/>
                <w:szCs w:val="18"/>
              </w:rPr>
            </w:pPr>
          </w:p>
        </w:tc>
      </w:tr>
      <w:tr w:rsidR="007853CF" w:rsidRPr="00F05CF7" w:rsidTr="002E4597">
        <w:trPr>
          <w:trHeight w:val="20"/>
          <w:jc w:val="center"/>
        </w:trPr>
        <w:tc>
          <w:tcPr>
            <w:tcW w:w="1351" w:type="dxa"/>
            <w:shd w:val="clear" w:color="auto" w:fill="auto"/>
            <w:noWrap/>
            <w:hideMark/>
          </w:tcPr>
          <w:p w:rsidR="007853CF" w:rsidRPr="00F05CF7" w:rsidRDefault="007853CF" w:rsidP="002E4597">
            <w:pPr>
              <w:spacing w:before="0" w:after="0" w:line="240" w:lineRule="auto"/>
              <w:ind w:firstLine="0"/>
              <w:jc w:val="left"/>
              <w:rPr>
                <w:rFonts w:eastAsia="Times New Roman" w:cs="Arial"/>
                <w:sz w:val="18"/>
                <w:szCs w:val="18"/>
              </w:rPr>
            </w:pPr>
            <w:r w:rsidRPr="00F05CF7">
              <w:rPr>
                <w:rFonts w:eastAsia="Times New Roman" w:cs="Arial"/>
                <w:sz w:val="18"/>
                <w:szCs w:val="18"/>
              </w:rPr>
              <w:t> </w:t>
            </w:r>
          </w:p>
        </w:tc>
        <w:tc>
          <w:tcPr>
            <w:tcW w:w="1260" w:type="dxa"/>
            <w:shd w:val="clear" w:color="auto" w:fill="auto"/>
            <w:noWrap/>
            <w:hideMark/>
          </w:tcPr>
          <w:p w:rsidR="007853CF" w:rsidRPr="00F05CF7" w:rsidRDefault="007853CF" w:rsidP="002E4597">
            <w:pPr>
              <w:spacing w:before="0" w:after="0" w:line="240" w:lineRule="auto"/>
              <w:ind w:firstLine="0"/>
              <w:jc w:val="left"/>
              <w:rPr>
                <w:rFonts w:eastAsia="Times New Roman" w:cs="Arial"/>
                <w:b/>
                <w:sz w:val="18"/>
                <w:szCs w:val="18"/>
              </w:rPr>
            </w:pPr>
            <w:r w:rsidRPr="00F05CF7">
              <w:rPr>
                <w:rFonts w:eastAsia="Times New Roman" w:cs="Arial"/>
                <w:b/>
                <w:sz w:val="18"/>
                <w:szCs w:val="18"/>
              </w:rPr>
              <w:t>Total</w:t>
            </w:r>
          </w:p>
        </w:tc>
        <w:tc>
          <w:tcPr>
            <w:tcW w:w="1195" w:type="dxa"/>
            <w:shd w:val="clear" w:color="auto" w:fill="auto"/>
            <w:noWrap/>
            <w:hideMark/>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45,500 </w:t>
            </w:r>
          </w:p>
        </w:tc>
        <w:tc>
          <w:tcPr>
            <w:tcW w:w="1083" w:type="dxa"/>
            <w:shd w:val="clear" w:color="auto" w:fill="auto"/>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 xml:space="preserve">   32,500 </w:t>
            </w:r>
          </w:p>
        </w:tc>
        <w:tc>
          <w:tcPr>
            <w:tcW w:w="1366" w:type="dxa"/>
            <w:shd w:val="clear" w:color="auto" w:fill="auto"/>
            <w:noWrap/>
            <w:hideMark/>
          </w:tcPr>
          <w:p w:rsidR="007853CF" w:rsidRPr="00F05CF7" w:rsidRDefault="007853CF" w:rsidP="002E4597">
            <w:pPr>
              <w:spacing w:before="0" w:after="0" w:line="240" w:lineRule="auto"/>
              <w:ind w:firstLine="0"/>
              <w:jc w:val="right"/>
              <w:rPr>
                <w:rFonts w:eastAsia="Times New Roman" w:cs="Arial"/>
                <w:b/>
                <w:sz w:val="18"/>
                <w:szCs w:val="18"/>
              </w:rPr>
            </w:pPr>
            <w:r w:rsidRPr="00F05CF7">
              <w:rPr>
                <w:rFonts w:eastAsia="Times New Roman" w:cs="Arial"/>
                <w:b/>
                <w:sz w:val="18"/>
                <w:szCs w:val="18"/>
              </w:rPr>
              <w:t>100%</w:t>
            </w:r>
          </w:p>
        </w:tc>
        <w:tc>
          <w:tcPr>
            <w:tcW w:w="1137" w:type="dxa"/>
            <w:shd w:val="clear" w:color="auto" w:fill="auto"/>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150,441 </w:t>
            </w:r>
          </w:p>
        </w:tc>
        <w:tc>
          <w:tcPr>
            <w:tcW w:w="1102" w:type="dxa"/>
            <w:shd w:val="clear" w:color="auto" w:fill="FFFFFF"/>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 xml:space="preserve">    210.617</w:t>
            </w:r>
          </w:p>
        </w:tc>
        <w:tc>
          <w:tcPr>
            <w:tcW w:w="1410" w:type="dxa"/>
          </w:tcPr>
          <w:p w:rsidR="007853CF" w:rsidRPr="00F05CF7" w:rsidRDefault="007853CF" w:rsidP="002E4597">
            <w:pPr>
              <w:spacing w:before="0" w:after="0" w:line="240" w:lineRule="auto"/>
              <w:ind w:firstLine="0"/>
              <w:jc w:val="right"/>
              <w:rPr>
                <w:rFonts w:cs="Arial"/>
                <w:b/>
                <w:bCs/>
                <w:sz w:val="18"/>
                <w:szCs w:val="18"/>
              </w:rPr>
            </w:pPr>
            <w:r w:rsidRPr="00F05CF7">
              <w:rPr>
                <w:rFonts w:cs="Arial"/>
                <w:b/>
                <w:bCs/>
                <w:sz w:val="18"/>
                <w:szCs w:val="18"/>
              </w:rPr>
              <w:t>192.1</w:t>
            </w:r>
          </w:p>
        </w:tc>
      </w:tr>
    </w:tbl>
    <w:p w:rsidR="007853CF" w:rsidRPr="00F05CF7" w:rsidRDefault="007853CF" w:rsidP="007853CF">
      <w:pPr>
        <w:rPr>
          <w:noProof/>
          <w:lang w:eastAsia="es-MX"/>
        </w:rPr>
      </w:pPr>
    </w:p>
    <w:p w:rsidR="007853CF" w:rsidRDefault="007853CF" w:rsidP="007853CF">
      <w:pPr>
        <w:rPr>
          <w:noProof/>
          <w:lang w:eastAsia="es-MX"/>
        </w:rPr>
      </w:pPr>
      <w:r w:rsidRPr="00F05CF7">
        <w:rPr>
          <w:noProof/>
          <w:lang w:eastAsia="es-MX"/>
        </w:rPr>
        <w:t>En el caso de que se lograra tecnificar el 100% de la superficie bajo riego</w:t>
      </w:r>
      <w:r w:rsidR="00E2159F">
        <w:rPr>
          <w:noProof/>
          <w:lang w:eastAsia="es-MX"/>
        </w:rPr>
        <w:t>,</w:t>
      </w:r>
      <w:r w:rsidRPr="00F05CF7">
        <w:rPr>
          <w:noProof/>
          <w:lang w:eastAsia="es-MX"/>
        </w:rPr>
        <w:t xml:space="preserve"> y alcanzar una eficiencia total en el uso del agua del orden del 82%, es posible reducir la demanda a 150.4 Mm</w:t>
      </w:r>
      <w:r w:rsidRPr="00F05CF7">
        <w:rPr>
          <w:noProof/>
          <w:vertAlign w:val="superscript"/>
          <w:lang w:eastAsia="es-MX"/>
        </w:rPr>
        <w:t>3</w:t>
      </w:r>
      <w:r w:rsidRPr="00F05CF7">
        <w:rPr>
          <w:noProof/>
          <w:lang w:eastAsia="es-MX"/>
        </w:rPr>
        <w:t>, por debajo del volumen concesionado en 56 Mm</w:t>
      </w:r>
      <w:r w:rsidRPr="00F05CF7">
        <w:rPr>
          <w:noProof/>
          <w:vertAlign w:val="superscript"/>
          <w:lang w:eastAsia="es-MX"/>
        </w:rPr>
        <w:t>3</w:t>
      </w:r>
      <w:r w:rsidRPr="00F05CF7">
        <w:rPr>
          <w:noProof/>
          <w:lang w:eastAsia="es-MX"/>
        </w:rPr>
        <w:t>. Otra opción es que con esta eficiencia programada es posible incrementar en un 40% la superficie bajo riego, para utilizar 210.7 Mm</w:t>
      </w:r>
      <w:r w:rsidRPr="00F05CF7">
        <w:rPr>
          <w:noProof/>
          <w:vertAlign w:val="superscript"/>
          <w:lang w:eastAsia="es-MX"/>
        </w:rPr>
        <w:t>3</w:t>
      </w:r>
      <w:r w:rsidRPr="00F05CF7">
        <w:rPr>
          <w:noProof/>
          <w:lang w:eastAsia="es-MX"/>
        </w:rPr>
        <w:t xml:space="preserve"> an</w:t>
      </w:r>
      <w:r>
        <w:rPr>
          <w:noProof/>
          <w:lang w:eastAsia="es-MX"/>
        </w:rPr>
        <w:t>uales.</w:t>
      </w:r>
    </w:p>
    <w:p w:rsidR="007853CF" w:rsidRDefault="007853CF" w:rsidP="007853CF">
      <w:pPr>
        <w:rPr>
          <w:noProof/>
          <w:lang w:eastAsia="es-MX"/>
        </w:rPr>
      </w:pPr>
      <w:r>
        <w:rPr>
          <w:noProof/>
          <w:lang w:eastAsia="es-MX"/>
        </w:rPr>
        <w:t>El caso de Tlaxcala debe de analizarse con mayor detalle para dimensionar los volúmenes consumidos, ya que requiere de tener la máxima tecnificación para poder regar la superficie actual con el volumen concesionado.</w:t>
      </w:r>
    </w:p>
    <w:p w:rsidR="007853CF" w:rsidRPr="00E2159F" w:rsidRDefault="007853CF" w:rsidP="008011C2">
      <w:pPr>
        <w:outlineLvl w:val="0"/>
        <w:rPr>
          <w:b/>
          <w:noProof/>
          <w:lang w:eastAsia="es-MX"/>
        </w:rPr>
      </w:pPr>
      <w:bookmarkStart w:id="175" w:name="_Toc262466871"/>
      <w:r w:rsidRPr="00E2159F">
        <w:rPr>
          <w:b/>
          <w:noProof/>
          <w:lang w:eastAsia="es-MX"/>
        </w:rPr>
        <w:t>Costo de escenario máxima modernización y tecnificación del riego en el acuífero.</w:t>
      </w:r>
      <w:bookmarkEnd w:id="175"/>
    </w:p>
    <w:p w:rsidR="007853CF" w:rsidRDefault="007D30DC" w:rsidP="007853CF">
      <w:pPr>
        <w:rPr>
          <w:noProof/>
          <w:lang w:eastAsia="es-MX"/>
        </w:rPr>
      </w:pPr>
      <w:r>
        <w:rPr>
          <w:noProof/>
          <w:lang w:eastAsia="es-MX"/>
        </w:rPr>
        <w:t>El P</w:t>
      </w:r>
      <w:r w:rsidR="007853CF" w:rsidRPr="00DD7BE5">
        <w:rPr>
          <w:noProof/>
          <w:lang w:eastAsia="es-MX"/>
        </w:rPr>
        <w:t xml:space="preserve">lan </w:t>
      </w:r>
      <w:r>
        <w:rPr>
          <w:noProof/>
          <w:lang w:eastAsia="es-MX"/>
        </w:rPr>
        <w:t>Director de las U</w:t>
      </w:r>
      <w:r w:rsidR="007853CF" w:rsidRPr="00DD7BE5">
        <w:rPr>
          <w:noProof/>
          <w:lang w:eastAsia="es-MX"/>
        </w:rPr>
        <w:t xml:space="preserve">nidades de </w:t>
      </w:r>
      <w:r>
        <w:rPr>
          <w:noProof/>
          <w:lang w:eastAsia="es-MX"/>
        </w:rPr>
        <w:t>R</w:t>
      </w:r>
      <w:r w:rsidR="007853CF" w:rsidRPr="00DD7BE5">
        <w:rPr>
          <w:noProof/>
          <w:lang w:eastAsia="es-MX"/>
        </w:rPr>
        <w:t>iego que integran la SRL “Desarrollo Sustentable del Valle de Perote, (UR Valle de Perote), Ver</w:t>
      </w:r>
      <w:r>
        <w:rPr>
          <w:noProof/>
          <w:lang w:eastAsia="es-MX"/>
        </w:rPr>
        <w:t>.</w:t>
      </w:r>
      <w:r w:rsidR="007853CF" w:rsidRPr="00DD7BE5">
        <w:rPr>
          <w:noProof/>
          <w:lang w:eastAsia="es-MX"/>
        </w:rPr>
        <w:t xml:space="preserve"> contempla la inversión de $198.2 </w:t>
      </w:r>
      <w:r>
        <w:rPr>
          <w:noProof/>
          <w:lang w:eastAsia="es-MX"/>
        </w:rPr>
        <w:t>MDP</w:t>
      </w:r>
      <w:r w:rsidR="007853CF" w:rsidRPr="00DD7BE5">
        <w:rPr>
          <w:noProof/>
          <w:lang w:eastAsia="es-MX"/>
        </w:rPr>
        <w:t xml:space="preserve"> en acciones estructurales para la modernización y tecnificación total de la superficie de 4,100.6 ha. Este monto incluye una inversión importante para el establecimiento de 1 ha de invernaderos por un </w:t>
      </w:r>
      <w:r w:rsidR="007853CF" w:rsidRPr="00DD7BE5">
        <w:rPr>
          <w:noProof/>
          <w:lang w:eastAsia="es-MX"/>
        </w:rPr>
        <w:lastRenderedPageBreak/>
        <w:t>equivalente de $70,462.80 MN. Considerando exclusivamente la inversión en tecnificación del riego, perforación y rehabilitación de pozos y equipos de bombeo</w:t>
      </w:r>
      <w:r>
        <w:rPr>
          <w:noProof/>
          <w:lang w:eastAsia="es-MX"/>
        </w:rPr>
        <w:t>,</w:t>
      </w:r>
      <w:r w:rsidR="007853CF" w:rsidRPr="00DD7BE5">
        <w:rPr>
          <w:noProof/>
          <w:lang w:eastAsia="es-MX"/>
        </w:rPr>
        <w:t xml:space="preserve"> la inversión total sería del orden de $31,160.00 MN por hectárea, monto que para fines de estimación en los acuíferos de Huamantla y Libres-Oriental se tomó como $35,000.00/ha.</w:t>
      </w:r>
    </w:p>
    <w:p w:rsidR="007853CF" w:rsidRDefault="007853CF" w:rsidP="007853CF">
      <w:pPr>
        <w:rPr>
          <w:noProof/>
          <w:lang w:eastAsia="es-MX"/>
        </w:rPr>
      </w:pPr>
      <w:r w:rsidRPr="00DD7BE5">
        <w:rPr>
          <w:noProof/>
          <w:lang w:eastAsia="es-MX"/>
        </w:rPr>
        <w:t>Los valores de los indicadores de rentabilidad obtenidos del escenario de inversión presentado</w:t>
      </w:r>
      <w:r w:rsidR="007D30DC">
        <w:rPr>
          <w:noProof/>
          <w:lang w:eastAsia="es-MX"/>
        </w:rPr>
        <w:t>s</w:t>
      </w:r>
      <w:r w:rsidRPr="00DD7BE5">
        <w:rPr>
          <w:noProof/>
          <w:lang w:eastAsia="es-MX"/>
        </w:rPr>
        <w:t xml:space="preserve"> en el plan director de las UR Valle de Perote, son:</w:t>
      </w:r>
    </w:p>
    <w:tbl>
      <w:tblPr>
        <w:tblW w:w="0" w:type="auto"/>
        <w:jc w:val="center"/>
        <w:tblBorders>
          <w:top w:val="single" w:sz="12" w:space="0" w:color="008000"/>
          <w:bottom w:val="single" w:sz="12" w:space="0" w:color="008000"/>
        </w:tblBorders>
        <w:tblLayout w:type="fixed"/>
        <w:tblLook w:val="04A0"/>
      </w:tblPr>
      <w:tblGrid>
        <w:gridCol w:w="1852"/>
        <w:gridCol w:w="983"/>
        <w:gridCol w:w="1134"/>
      </w:tblGrid>
      <w:tr w:rsidR="007853CF" w:rsidRPr="00FB0B6F" w:rsidTr="00EB0C48">
        <w:trPr>
          <w:jc w:val="center"/>
        </w:trPr>
        <w:tc>
          <w:tcPr>
            <w:tcW w:w="1852" w:type="dxa"/>
            <w:tcBorders>
              <w:bottom w:val="single" w:sz="6" w:space="0" w:color="008000"/>
            </w:tcBorders>
            <w:shd w:val="clear" w:color="auto" w:fill="auto"/>
          </w:tcPr>
          <w:p w:rsidR="007853CF" w:rsidRPr="00FB0B6F" w:rsidRDefault="007853CF" w:rsidP="00EB0C48">
            <w:pPr>
              <w:autoSpaceDE w:val="0"/>
              <w:autoSpaceDN w:val="0"/>
              <w:adjustRightInd w:val="0"/>
              <w:spacing w:line="240" w:lineRule="auto"/>
              <w:ind w:firstLine="0"/>
              <w:jc w:val="center"/>
              <w:rPr>
                <w:rFonts w:cs="Arial"/>
                <w:bCs/>
                <w:color w:val="000000"/>
                <w:sz w:val="20"/>
                <w:lang w:val="es-ES"/>
              </w:rPr>
            </w:pPr>
            <w:r w:rsidRPr="00FB0B6F">
              <w:rPr>
                <w:rFonts w:cs="Arial"/>
                <w:bCs/>
                <w:i/>
                <w:iCs/>
                <w:color w:val="000000"/>
                <w:sz w:val="20"/>
                <w:lang w:val="es-ES" w:bidi="he-IL"/>
              </w:rPr>
              <w:t>VANS</w:t>
            </w:r>
          </w:p>
          <w:p w:rsidR="007853CF" w:rsidRPr="00FB0B6F" w:rsidRDefault="007853CF" w:rsidP="00EB0C48">
            <w:pPr>
              <w:autoSpaceDE w:val="0"/>
              <w:autoSpaceDN w:val="0"/>
              <w:adjustRightInd w:val="0"/>
              <w:spacing w:line="240" w:lineRule="auto"/>
              <w:ind w:firstLine="0"/>
              <w:jc w:val="center"/>
              <w:rPr>
                <w:rFonts w:cs="Arial"/>
                <w:color w:val="000000"/>
                <w:sz w:val="20"/>
                <w:lang w:val="es-ES" w:bidi="he-IL"/>
              </w:rPr>
            </w:pPr>
            <w:r w:rsidRPr="00FB0B6F">
              <w:rPr>
                <w:rFonts w:cs="Arial"/>
                <w:bCs/>
                <w:color w:val="000000"/>
                <w:sz w:val="20"/>
                <w:lang w:val="es-ES"/>
              </w:rPr>
              <w:t>(Miles de $)</w:t>
            </w:r>
          </w:p>
        </w:tc>
        <w:tc>
          <w:tcPr>
            <w:tcW w:w="983" w:type="dxa"/>
            <w:tcBorders>
              <w:bottom w:val="single" w:sz="6" w:space="0" w:color="008000"/>
            </w:tcBorders>
            <w:shd w:val="clear" w:color="auto" w:fill="auto"/>
          </w:tcPr>
          <w:p w:rsidR="007853CF" w:rsidRPr="00FB0B6F" w:rsidRDefault="007853CF" w:rsidP="00EB0C48">
            <w:pPr>
              <w:autoSpaceDE w:val="0"/>
              <w:autoSpaceDN w:val="0"/>
              <w:adjustRightInd w:val="0"/>
              <w:spacing w:line="240" w:lineRule="auto"/>
              <w:ind w:firstLine="0"/>
              <w:jc w:val="center"/>
              <w:rPr>
                <w:rFonts w:cs="Arial"/>
                <w:bCs/>
                <w:i/>
                <w:iCs/>
                <w:color w:val="000000"/>
                <w:sz w:val="20"/>
                <w:lang w:val="es-ES" w:bidi="he-IL"/>
              </w:rPr>
            </w:pPr>
            <w:r w:rsidRPr="00FB0B6F">
              <w:rPr>
                <w:rFonts w:cs="Arial"/>
                <w:bCs/>
                <w:i/>
                <w:iCs/>
                <w:color w:val="000000"/>
                <w:sz w:val="20"/>
                <w:lang w:val="es-ES" w:bidi="he-IL"/>
              </w:rPr>
              <w:t>TIR</w:t>
            </w:r>
          </w:p>
          <w:p w:rsidR="007853CF" w:rsidRPr="00FB0B6F" w:rsidRDefault="007853CF" w:rsidP="00EB0C48">
            <w:pPr>
              <w:autoSpaceDE w:val="0"/>
              <w:autoSpaceDN w:val="0"/>
              <w:adjustRightInd w:val="0"/>
              <w:spacing w:line="240" w:lineRule="auto"/>
              <w:ind w:firstLine="0"/>
              <w:jc w:val="center"/>
              <w:rPr>
                <w:rFonts w:cs="Arial"/>
                <w:color w:val="000000"/>
                <w:sz w:val="20"/>
                <w:lang w:val="es-ES" w:bidi="he-IL"/>
              </w:rPr>
            </w:pPr>
            <w:r w:rsidRPr="00FB0B6F">
              <w:rPr>
                <w:rFonts w:cs="Arial"/>
                <w:bCs/>
                <w:i/>
                <w:iCs/>
                <w:color w:val="000000"/>
                <w:sz w:val="20"/>
                <w:lang w:val="es-ES" w:bidi="he-IL"/>
              </w:rPr>
              <w:t>(%)</w:t>
            </w:r>
          </w:p>
        </w:tc>
        <w:tc>
          <w:tcPr>
            <w:tcW w:w="1134" w:type="dxa"/>
            <w:tcBorders>
              <w:bottom w:val="single" w:sz="6" w:space="0" w:color="008000"/>
            </w:tcBorders>
            <w:shd w:val="clear" w:color="auto" w:fill="auto"/>
          </w:tcPr>
          <w:p w:rsidR="007853CF" w:rsidRPr="00FB0B6F" w:rsidRDefault="007853CF" w:rsidP="00EB0C48">
            <w:pPr>
              <w:autoSpaceDE w:val="0"/>
              <w:autoSpaceDN w:val="0"/>
              <w:adjustRightInd w:val="0"/>
              <w:spacing w:line="240" w:lineRule="auto"/>
              <w:ind w:firstLine="0"/>
              <w:jc w:val="center"/>
              <w:rPr>
                <w:rFonts w:cs="Arial"/>
                <w:color w:val="000000"/>
                <w:sz w:val="20"/>
                <w:lang w:val="es-ES" w:bidi="he-IL"/>
              </w:rPr>
            </w:pPr>
            <w:r w:rsidRPr="00FB0B6F">
              <w:rPr>
                <w:rFonts w:cs="Arial"/>
                <w:bCs/>
                <w:i/>
                <w:iCs/>
                <w:color w:val="000000"/>
                <w:sz w:val="20"/>
                <w:lang w:val="es-ES" w:bidi="he-IL"/>
              </w:rPr>
              <w:t>B/C</w:t>
            </w:r>
          </w:p>
        </w:tc>
      </w:tr>
      <w:tr w:rsidR="007853CF" w:rsidRPr="00FB0B6F" w:rsidTr="00EB0C48">
        <w:trPr>
          <w:jc w:val="center"/>
        </w:trPr>
        <w:tc>
          <w:tcPr>
            <w:tcW w:w="1852" w:type="dxa"/>
            <w:shd w:val="clear" w:color="auto" w:fill="auto"/>
          </w:tcPr>
          <w:p w:rsidR="007853CF" w:rsidRPr="00FB0B6F" w:rsidRDefault="007853CF" w:rsidP="00EB0C48">
            <w:pPr>
              <w:autoSpaceDE w:val="0"/>
              <w:autoSpaceDN w:val="0"/>
              <w:adjustRightInd w:val="0"/>
              <w:spacing w:line="240" w:lineRule="auto"/>
              <w:ind w:firstLine="0"/>
              <w:jc w:val="right"/>
              <w:rPr>
                <w:rFonts w:cs="Arial"/>
                <w:color w:val="000000"/>
                <w:sz w:val="20"/>
                <w:lang w:val="es-ES" w:bidi="he-IL"/>
              </w:rPr>
            </w:pPr>
            <w:r w:rsidRPr="00FB0B6F">
              <w:rPr>
                <w:rFonts w:cs="Arial"/>
                <w:color w:val="000000"/>
                <w:sz w:val="20"/>
                <w:lang w:val="es-ES" w:bidi="he-IL"/>
              </w:rPr>
              <w:t>$209,732.46</w:t>
            </w:r>
          </w:p>
        </w:tc>
        <w:tc>
          <w:tcPr>
            <w:tcW w:w="983" w:type="dxa"/>
            <w:shd w:val="clear" w:color="auto" w:fill="auto"/>
          </w:tcPr>
          <w:p w:rsidR="007853CF" w:rsidRPr="00FB0B6F" w:rsidRDefault="007853CF" w:rsidP="00EB0C48">
            <w:pPr>
              <w:autoSpaceDE w:val="0"/>
              <w:autoSpaceDN w:val="0"/>
              <w:adjustRightInd w:val="0"/>
              <w:spacing w:line="240" w:lineRule="auto"/>
              <w:ind w:firstLine="0"/>
              <w:jc w:val="right"/>
              <w:rPr>
                <w:rFonts w:cs="Arial"/>
                <w:color w:val="000000"/>
                <w:sz w:val="20"/>
                <w:lang w:val="es-ES" w:bidi="he-IL"/>
              </w:rPr>
            </w:pPr>
            <w:r w:rsidRPr="00FB0B6F">
              <w:rPr>
                <w:rFonts w:cs="Arial"/>
                <w:color w:val="000000"/>
                <w:sz w:val="20"/>
                <w:lang w:val="es-ES" w:bidi="he-IL"/>
              </w:rPr>
              <w:t>35.1</w:t>
            </w:r>
          </w:p>
        </w:tc>
        <w:tc>
          <w:tcPr>
            <w:tcW w:w="1134" w:type="dxa"/>
            <w:shd w:val="clear" w:color="auto" w:fill="auto"/>
          </w:tcPr>
          <w:p w:rsidR="007853CF" w:rsidRPr="00FB0B6F" w:rsidRDefault="007853CF" w:rsidP="00EB0C48">
            <w:pPr>
              <w:autoSpaceDE w:val="0"/>
              <w:autoSpaceDN w:val="0"/>
              <w:adjustRightInd w:val="0"/>
              <w:spacing w:line="240" w:lineRule="auto"/>
              <w:ind w:firstLine="0"/>
              <w:jc w:val="right"/>
              <w:rPr>
                <w:rFonts w:cs="Arial"/>
                <w:color w:val="000000"/>
                <w:sz w:val="20"/>
                <w:lang w:val="es-ES" w:bidi="he-IL"/>
              </w:rPr>
            </w:pPr>
            <w:r w:rsidRPr="00FB0B6F">
              <w:rPr>
                <w:rFonts w:cs="Arial"/>
                <w:color w:val="000000"/>
                <w:sz w:val="20"/>
                <w:lang w:val="es-ES" w:bidi="he-IL"/>
              </w:rPr>
              <w:t>1.47</w:t>
            </w:r>
          </w:p>
        </w:tc>
      </w:tr>
    </w:tbl>
    <w:p w:rsidR="007853CF" w:rsidRDefault="007853CF" w:rsidP="007853CF">
      <w:pPr>
        <w:rPr>
          <w:noProof/>
          <w:lang w:eastAsia="es-MX"/>
        </w:rPr>
      </w:pPr>
    </w:p>
    <w:p w:rsidR="007853CF" w:rsidRDefault="007853CF" w:rsidP="007853CF">
      <w:pPr>
        <w:rPr>
          <w:noProof/>
          <w:lang w:eastAsia="es-MX"/>
        </w:rPr>
      </w:pPr>
      <w:r w:rsidRPr="00DD7BE5">
        <w:rPr>
          <w:noProof/>
          <w:lang w:eastAsia="es-MX"/>
        </w:rPr>
        <w:t xml:space="preserve">Los indicadores de rentabilidad muestran que la inversión para modernizar y tecnificar la superficie bajo riego e incrementarla hasta 4,100.6 ha es viable. Sin embargo para evaluar los posibles riesgos que puedan presentarse ante la ejecución de los proyectos se realizó el análisis de sensibilidad, basado </w:t>
      </w:r>
      <w:r w:rsidR="007D30DC">
        <w:rPr>
          <w:noProof/>
          <w:lang w:eastAsia="es-MX"/>
        </w:rPr>
        <w:t>en la revisión de</w:t>
      </w:r>
      <w:r w:rsidRPr="00DD7BE5">
        <w:rPr>
          <w:noProof/>
          <w:lang w:eastAsia="es-MX"/>
        </w:rPr>
        <w:t xml:space="preserve"> las principales variables de riesgos que podrían afectar la rentabilidad a partir del programa de inversión propuesto</w:t>
      </w:r>
      <w:r w:rsidR="007D30DC">
        <w:rPr>
          <w:noProof/>
          <w:lang w:eastAsia="es-MX"/>
        </w:rPr>
        <w:t xml:space="preserve"> (</w:t>
      </w:r>
      <w:r w:rsidR="00BE2961">
        <w:rPr>
          <w:noProof/>
          <w:lang w:eastAsia="es-MX"/>
        </w:rPr>
        <w:fldChar w:fldCharType="begin"/>
      </w:r>
      <w:r w:rsidR="007D30DC">
        <w:rPr>
          <w:noProof/>
          <w:lang w:eastAsia="es-MX"/>
        </w:rPr>
        <w:instrText xml:space="preserve"> REF _Ref263936322 \r \h </w:instrText>
      </w:r>
      <w:r w:rsidR="00BE2961">
        <w:rPr>
          <w:noProof/>
          <w:lang w:eastAsia="es-MX"/>
        </w:rPr>
      </w:r>
      <w:r w:rsidR="00BE2961">
        <w:rPr>
          <w:noProof/>
          <w:lang w:eastAsia="es-MX"/>
        </w:rPr>
        <w:fldChar w:fldCharType="separate"/>
      </w:r>
      <w:r w:rsidR="001C36B4">
        <w:rPr>
          <w:noProof/>
          <w:lang w:eastAsia="es-MX"/>
        </w:rPr>
        <w:t>Tabla 6.21</w:t>
      </w:r>
      <w:r w:rsidR="00BE2961">
        <w:rPr>
          <w:noProof/>
          <w:lang w:eastAsia="es-MX"/>
        </w:rPr>
        <w:fldChar w:fldCharType="end"/>
      </w:r>
      <w:r w:rsidR="007D30DC">
        <w:rPr>
          <w:noProof/>
          <w:lang w:eastAsia="es-MX"/>
        </w:rPr>
        <w:t>)</w:t>
      </w:r>
      <w:r>
        <w:rPr>
          <w:noProof/>
          <w:lang w:eastAsia="es-MX"/>
        </w:rPr>
        <w:t>.</w:t>
      </w:r>
    </w:p>
    <w:p w:rsidR="007853CF" w:rsidRDefault="007853CF" w:rsidP="001527C0">
      <w:pPr>
        <w:pStyle w:val="Tabla1cap6"/>
      </w:pPr>
      <w:bookmarkStart w:id="176" w:name="_Toc262468570"/>
      <w:bookmarkStart w:id="177" w:name="_Ref263936322"/>
      <w:r w:rsidRPr="00DD7BE5">
        <w:t>Análisis de sensibilidad para diferentes indicadores de rentabilidad ante diferentes riesgos del proyecto de modernización y tecnificación de la zona de riego del acuífero Perote-</w:t>
      </w:r>
      <w:r w:rsidR="00106565">
        <w:t>Zalayeta</w:t>
      </w:r>
      <w:r w:rsidRPr="00DD7BE5">
        <w:t>.</w:t>
      </w:r>
      <w:bookmarkEnd w:id="176"/>
      <w:bookmarkEnd w:id="177"/>
    </w:p>
    <w:tbl>
      <w:tblPr>
        <w:tblW w:w="0" w:type="auto"/>
        <w:tblBorders>
          <w:top w:val="single" w:sz="12" w:space="0" w:color="008000"/>
          <w:bottom w:val="single" w:sz="12" w:space="0" w:color="008000"/>
        </w:tblBorders>
        <w:tblLayout w:type="fixed"/>
        <w:tblLook w:val="04A0"/>
      </w:tblPr>
      <w:tblGrid>
        <w:gridCol w:w="4928"/>
        <w:gridCol w:w="1276"/>
        <w:gridCol w:w="1417"/>
        <w:gridCol w:w="851"/>
        <w:gridCol w:w="850"/>
      </w:tblGrid>
      <w:tr w:rsidR="007853CF" w:rsidRPr="00FB0B6F" w:rsidTr="00EB0C48">
        <w:trPr>
          <w:tblHeader/>
        </w:trPr>
        <w:tc>
          <w:tcPr>
            <w:tcW w:w="4928" w:type="dxa"/>
            <w:tcBorders>
              <w:bottom w:val="single" w:sz="6" w:space="0" w:color="008000"/>
            </w:tcBorders>
            <w:shd w:val="clear" w:color="auto" w:fill="auto"/>
          </w:tcPr>
          <w:p w:rsidR="007853CF" w:rsidRPr="00FB0B6F" w:rsidRDefault="007853CF" w:rsidP="002E4597">
            <w:pPr>
              <w:autoSpaceDE w:val="0"/>
              <w:autoSpaceDN w:val="0"/>
              <w:adjustRightInd w:val="0"/>
              <w:spacing w:before="0" w:after="0" w:line="240" w:lineRule="auto"/>
              <w:ind w:firstLine="0"/>
              <w:rPr>
                <w:rFonts w:cs="Arial"/>
                <w:color w:val="000000"/>
                <w:sz w:val="20"/>
                <w:lang w:val="es-ES" w:bidi="he-IL"/>
              </w:rPr>
            </w:pPr>
            <w:r w:rsidRPr="00FB0B6F">
              <w:rPr>
                <w:rFonts w:cs="Arial"/>
                <w:color w:val="000000"/>
                <w:sz w:val="20"/>
                <w:lang w:val="es-ES" w:bidi="he-IL"/>
              </w:rPr>
              <w:t>Riesgo / Indicador de Rentabilidad</w:t>
            </w:r>
          </w:p>
        </w:tc>
        <w:tc>
          <w:tcPr>
            <w:tcW w:w="1276" w:type="dxa"/>
            <w:tcBorders>
              <w:bottom w:val="single" w:sz="6" w:space="0" w:color="008000"/>
            </w:tcBorders>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Incremento</w:t>
            </w:r>
          </w:p>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w:t>
            </w:r>
          </w:p>
        </w:tc>
        <w:tc>
          <w:tcPr>
            <w:tcW w:w="1417" w:type="dxa"/>
            <w:tcBorders>
              <w:bottom w:val="single" w:sz="6" w:space="0" w:color="008000"/>
            </w:tcBorders>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bCs/>
                <w:color w:val="000000"/>
                <w:sz w:val="20"/>
                <w:lang w:val="es-ES"/>
              </w:rPr>
            </w:pPr>
            <w:r w:rsidRPr="00FB0B6F">
              <w:rPr>
                <w:rFonts w:cs="Arial"/>
                <w:bCs/>
                <w:i/>
                <w:iCs/>
                <w:color w:val="000000"/>
                <w:sz w:val="20"/>
                <w:lang w:val="es-ES" w:bidi="he-IL"/>
              </w:rPr>
              <w:t>VANS</w:t>
            </w:r>
          </w:p>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bCs/>
                <w:color w:val="000000"/>
                <w:sz w:val="20"/>
                <w:lang w:val="es-ES"/>
              </w:rPr>
              <w:t>(Miles de $)</w:t>
            </w:r>
          </w:p>
        </w:tc>
        <w:tc>
          <w:tcPr>
            <w:tcW w:w="851" w:type="dxa"/>
            <w:tcBorders>
              <w:bottom w:val="single" w:sz="6" w:space="0" w:color="008000"/>
            </w:tcBorders>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bCs/>
                <w:i/>
                <w:iCs/>
                <w:color w:val="000000"/>
                <w:sz w:val="20"/>
                <w:lang w:val="es-ES" w:bidi="he-IL"/>
              </w:rPr>
            </w:pPr>
            <w:r w:rsidRPr="00FB0B6F">
              <w:rPr>
                <w:rFonts w:cs="Arial"/>
                <w:bCs/>
                <w:i/>
                <w:iCs/>
                <w:color w:val="000000"/>
                <w:sz w:val="20"/>
                <w:lang w:val="es-ES" w:bidi="he-IL"/>
              </w:rPr>
              <w:t>TIR</w:t>
            </w:r>
          </w:p>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bCs/>
                <w:i/>
                <w:iCs/>
                <w:color w:val="000000"/>
                <w:sz w:val="20"/>
                <w:lang w:val="es-ES" w:bidi="he-IL"/>
              </w:rPr>
              <w:t>(%)</w:t>
            </w:r>
          </w:p>
        </w:tc>
        <w:tc>
          <w:tcPr>
            <w:tcW w:w="850" w:type="dxa"/>
            <w:tcBorders>
              <w:bottom w:val="single" w:sz="6" w:space="0" w:color="008000"/>
            </w:tcBorders>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bCs/>
                <w:i/>
                <w:iCs/>
                <w:color w:val="000000"/>
                <w:sz w:val="20"/>
                <w:lang w:val="es-ES" w:bidi="he-IL"/>
              </w:rPr>
              <w:t>B/C</w:t>
            </w:r>
          </w:p>
        </w:tc>
      </w:tr>
      <w:tr w:rsidR="007853CF" w:rsidRPr="00FB0B6F" w:rsidTr="00EB0C48">
        <w:tc>
          <w:tcPr>
            <w:tcW w:w="4928" w:type="dxa"/>
            <w:vMerge w:val="restart"/>
            <w:shd w:val="clear" w:color="auto" w:fill="auto"/>
          </w:tcPr>
          <w:p w:rsidR="007853CF" w:rsidRPr="00FB0B6F" w:rsidRDefault="007853CF" w:rsidP="002E4597">
            <w:pPr>
              <w:autoSpaceDE w:val="0"/>
              <w:autoSpaceDN w:val="0"/>
              <w:adjustRightInd w:val="0"/>
              <w:spacing w:before="0" w:after="0" w:line="240" w:lineRule="auto"/>
              <w:ind w:firstLine="0"/>
              <w:rPr>
                <w:rFonts w:cs="Arial"/>
                <w:color w:val="000000"/>
                <w:sz w:val="20"/>
                <w:lang w:val="es-ES" w:bidi="he-IL"/>
              </w:rPr>
            </w:pPr>
            <w:r w:rsidRPr="00FB0B6F">
              <w:rPr>
                <w:rFonts w:cs="Arial"/>
                <w:bCs/>
                <w:i/>
                <w:iCs/>
                <w:color w:val="000000"/>
                <w:sz w:val="20"/>
                <w:lang w:val="es-ES" w:bidi="he-IL"/>
              </w:rPr>
              <w:t>Indicador de rentabilidad, ante un incremento en la inversión</w:t>
            </w:r>
          </w:p>
        </w:tc>
        <w:tc>
          <w:tcPr>
            <w:tcW w:w="1276" w:type="dxa"/>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0</w:t>
            </w:r>
          </w:p>
        </w:tc>
        <w:tc>
          <w:tcPr>
            <w:tcW w:w="1417"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$209,732.46</w:t>
            </w:r>
          </w:p>
        </w:tc>
        <w:tc>
          <w:tcPr>
            <w:tcW w:w="851"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35.1</w:t>
            </w:r>
          </w:p>
        </w:tc>
        <w:tc>
          <w:tcPr>
            <w:tcW w:w="850"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1.47</w:t>
            </w:r>
          </w:p>
        </w:tc>
      </w:tr>
      <w:tr w:rsidR="007853CF" w:rsidRPr="00FB0B6F" w:rsidTr="00EB0C48">
        <w:tc>
          <w:tcPr>
            <w:tcW w:w="4928" w:type="dxa"/>
            <w:vMerge/>
            <w:shd w:val="clear" w:color="auto" w:fill="auto"/>
          </w:tcPr>
          <w:p w:rsidR="007853CF" w:rsidRPr="00FB0B6F"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5</w:t>
            </w:r>
          </w:p>
        </w:tc>
        <w:tc>
          <w:tcPr>
            <w:tcW w:w="1417"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$203,702.19</w:t>
            </w:r>
          </w:p>
        </w:tc>
        <w:tc>
          <w:tcPr>
            <w:tcW w:w="851"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33.4</w:t>
            </w:r>
          </w:p>
        </w:tc>
        <w:tc>
          <w:tcPr>
            <w:tcW w:w="850"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1.45</w:t>
            </w:r>
          </w:p>
        </w:tc>
      </w:tr>
      <w:tr w:rsidR="007853CF" w:rsidRPr="00FB0B6F" w:rsidTr="00EB0C48">
        <w:tc>
          <w:tcPr>
            <w:tcW w:w="4928" w:type="dxa"/>
            <w:vMerge/>
            <w:shd w:val="clear" w:color="auto" w:fill="auto"/>
          </w:tcPr>
          <w:p w:rsidR="007853CF" w:rsidRPr="00FB0B6F"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10</w:t>
            </w:r>
          </w:p>
        </w:tc>
        <w:tc>
          <w:tcPr>
            <w:tcW w:w="1417"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 xml:space="preserve">$197,671.92 </w:t>
            </w:r>
          </w:p>
        </w:tc>
        <w:tc>
          <w:tcPr>
            <w:tcW w:w="851"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31.9</w:t>
            </w:r>
          </w:p>
        </w:tc>
        <w:tc>
          <w:tcPr>
            <w:tcW w:w="850"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1.43</w:t>
            </w:r>
          </w:p>
        </w:tc>
      </w:tr>
      <w:tr w:rsidR="007853CF" w:rsidRPr="00F05CF7" w:rsidTr="00EB0C48">
        <w:tc>
          <w:tcPr>
            <w:tcW w:w="4928" w:type="dxa"/>
            <w:vMerge w:val="restart"/>
            <w:shd w:val="clear" w:color="auto" w:fill="auto"/>
          </w:tcPr>
          <w:p w:rsidR="007853CF" w:rsidRPr="00F05CF7" w:rsidRDefault="007853CF" w:rsidP="002E4597">
            <w:pPr>
              <w:autoSpaceDE w:val="0"/>
              <w:autoSpaceDN w:val="0"/>
              <w:adjustRightInd w:val="0"/>
              <w:spacing w:before="0" w:after="0" w:line="240" w:lineRule="auto"/>
              <w:ind w:firstLine="0"/>
              <w:rPr>
                <w:rFonts w:cs="Arial"/>
                <w:sz w:val="20"/>
                <w:lang w:val="es-ES" w:bidi="he-IL"/>
              </w:rPr>
            </w:pPr>
            <w:r w:rsidRPr="00F05CF7">
              <w:rPr>
                <w:rFonts w:cs="Arial"/>
                <w:sz w:val="20"/>
                <w:lang w:val="es-ES" w:bidi="he-IL"/>
              </w:rPr>
              <w:t>Bajas de los precios del producto agrícola o baja demanda del producto obtenido</w:t>
            </w: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0</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05CF7">
              <w:rPr>
                <w:rFonts w:cs="Arial"/>
                <w:color w:val="000000"/>
                <w:sz w:val="20"/>
                <w:lang w:val="es-ES" w:bidi="he-IL"/>
              </w:rPr>
              <w:t>$209,732.46</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05CF7">
              <w:rPr>
                <w:rFonts w:cs="Arial"/>
                <w:color w:val="000000"/>
                <w:sz w:val="20"/>
                <w:lang w:val="es-ES" w:bidi="he-IL"/>
              </w:rPr>
              <w:t>35.1</w:t>
            </w:r>
          </w:p>
        </w:tc>
        <w:tc>
          <w:tcPr>
            <w:tcW w:w="850"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05CF7">
              <w:rPr>
                <w:rFonts w:cs="Arial"/>
                <w:color w:val="000000"/>
                <w:sz w:val="20"/>
                <w:lang w:val="es-ES" w:bidi="he-IL"/>
              </w:rPr>
              <w:t>1.47</w:t>
            </w:r>
          </w:p>
        </w:tc>
      </w:tr>
      <w:tr w:rsidR="007853CF" w:rsidRPr="00F05CF7" w:rsidTr="00EB0C48">
        <w:tc>
          <w:tcPr>
            <w:tcW w:w="4928" w:type="dxa"/>
            <w:vMerge/>
            <w:shd w:val="clear" w:color="auto" w:fill="auto"/>
          </w:tcPr>
          <w:p w:rsidR="007853CF" w:rsidRPr="00F05CF7"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5</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$114,510.56</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23.8</w:t>
            </w:r>
          </w:p>
        </w:tc>
        <w:tc>
          <w:tcPr>
            <w:tcW w:w="850"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1.26</w:t>
            </w:r>
          </w:p>
        </w:tc>
      </w:tr>
      <w:tr w:rsidR="007853CF" w:rsidRPr="00F05CF7" w:rsidTr="00EB0C48">
        <w:tc>
          <w:tcPr>
            <w:tcW w:w="4928" w:type="dxa"/>
            <w:vMerge/>
            <w:shd w:val="clear" w:color="auto" w:fill="auto"/>
          </w:tcPr>
          <w:p w:rsidR="007853CF" w:rsidRPr="00F05CF7"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10</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 xml:space="preserve">$  19,288.66 </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13.9</w:t>
            </w:r>
          </w:p>
        </w:tc>
        <w:tc>
          <w:tcPr>
            <w:tcW w:w="850"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1.04</w:t>
            </w:r>
          </w:p>
        </w:tc>
      </w:tr>
      <w:tr w:rsidR="007853CF" w:rsidRPr="00F05CF7" w:rsidTr="00EB0C48">
        <w:tc>
          <w:tcPr>
            <w:tcW w:w="4928" w:type="dxa"/>
            <w:vMerge w:val="restart"/>
            <w:shd w:val="clear" w:color="auto" w:fill="auto"/>
          </w:tcPr>
          <w:p w:rsidR="007853CF" w:rsidRPr="00F05CF7" w:rsidRDefault="007853CF" w:rsidP="002E4597">
            <w:pPr>
              <w:autoSpaceDE w:val="0"/>
              <w:autoSpaceDN w:val="0"/>
              <w:adjustRightInd w:val="0"/>
              <w:spacing w:before="0" w:after="0" w:line="240" w:lineRule="auto"/>
              <w:ind w:firstLine="0"/>
              <w:rPr>
                <w:rFonts w:cs="Arial"/>
                <w:color w:val="000000"/>
                <w:sz w:val="20"/>
                <w:lang w:val="es-ES" w:bidi="he-IL"/>
              </w:rPr>
            </w:pPr>
            <w:r w:rsidRPr="00F05CF7">
              <w:rPr>
                <w:rFonts w:cs="Arial"/>
                <w:bCs/>
                <w:i/>
                <w:iCs/>
                <w:color w:val="000000"/>
                <w:sz w:val="20"/>
                <w:lang w:val="es-ES" w:bidi="he-IL"/>
              </w:rPr>
              <w:t>Incremento de los costos totales de producción</w:t>
            </w: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0</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$209,732.46</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35.1</w:t>
            </w:r>
          </w:p>
        </w:tc>
        <w:tc>
          <w:tcPr>
            <w:tcW w:w="850"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1.47</w:t>
            </w:r>
          </w:p>
        </w:tc>
      </w:tr>
      <w:tr w:rsidR="007853CF" w:rsidRPr="00F05CF7" w:rsidTr="00EB0C48">
        <w:tc>
          <w:tcPr>
            <w:tcW w:w="4928" w:type="dxa"/>
            <w:vMerge/>
            <w:shd w:val="clear" w:color="auto" w:fill="auto"/>
          </w:tcPr>
          <w:p w:rsidR="007853CF" w:rsidRPr="00F05CF7"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5</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$158,873.29</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28.9</w:t>
            </w:r>
          </w:p>
        </w:tc>
        <w:tc>
          <w:tcPr>
            <w:tcW w:w="850"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1.32</w:t>
            </w:r>
          </w:p>
        </w:tc>
      </w:tr>
      <w:tr w:rsidR="007853CF" w:rsidRPr="00F05CF7" w:rsidTr="00EB0C48">
        <w:tc>
          <w:tcPr>
            <w:tcW w:w="4928" w:type="dxa"/>
            <w:vMerge/>
            <w:shd w:val="clear" w:color="auto" w:fill="auto"/>
          </w:tcPr>
          <w:p w:rsidR="007853CF" w:rsidRPr="00F05CF7"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10</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$108,014.11</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23.1</w:t>
            </w:r>
          </w:p>
        </w:tc>
        <w:tc>
          <w:tcPr>
            <w:tcW w:w="850"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sz w:val="20"/>
                <w:lang w:val="es-ES" w:bidi="he-IL"/>
              </w:rPr>
            </w:pPr>
            <w:r w:rsidRPr="00F05CF7">
              <w:rPr>
                <w:rFonts w:cs="Arial"/>
                <w:sz w:val="20"/>
                <w:lang w:val="es-ES" w:bidi="he-IL"/>
              </w:rPr>
              <w:t>1.20</w:t>
            </w:r>
          </w:p>
        </w:tc>
      </w:tr>
      <w:tr w:rsidR="007853CF" w:rsidRPr="00FB0B6F" w:rsidTr="00EB0C48">
        <w:tc>
          <w:tcPr>
            <w:tcW w:w="4928" w:type="dxa"/>
            <w:vMerge w:val="restart"/>
            <w:shd w:val="clear" w:color="auto" w:fill="auto"/>
          </w:tcPr>
          <w:p w:rsidR="007853CF" w:rsidRPr="00F05CF7" w:rsidRDefault="007853CF" w:rsidP="002E4597">
            <w:pPr>
              <w:autoSpaceDE w:val="0"/>
              <w:autoSpaceDN w:val="0"/>
              <w:adjustRightInd w:val="0"/>
              <w:spacing w:before="0" w:after="0" w:line="240" w:lineRule="auto"/>
              <w:ind w:firstLine="0"/>
              <w:rPr>
                <w:rFonts w:cs="Arial"/>
                <w:color w:val="000000"/>
                <w:sz w:val="20"/>
                <w:lang w:val="es-ES" w:bidi="he-IL"/>
              </w:rPr>
            </w:pPr>
            <w:r w:rsidRPr="00F05CF7">
              <w:rPr>
                <w:rFonts w:cs="Arial"/>
                <w:bCs/>
                <w:i/>
                <w:iCs/>
                <w:color w:val="000000"/>
                <w:sz w:val="20"/>
                <w:lang w:val="es-ES" w:bidi="he-IL"/>
              </w:rPr>
              <w:t>Variación en el ritmo de inversión</w:t>
            </w:r>
          </w:p>
        </w:tc>
        <w:tc>
          <w:tcPr>
            <w:tcW w:w="1276" w:type="dxa"/>
            <w:shd w:val="clear" w:color="auto" w:fill="auto"/>
          </w:tcPr>
          <w:p w:rsidR="007853CF" w:rsidRPr="00F05CF7"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05CF7">
              <w:rPr>
                <w:rFonts w:cs="Arial"/>
                <w:color w:val="000000"/>
                <w:sz w:val="20"/>
                <w:lang w:val="es-ES" w:bidi="he-IL"/>
              </w:rPr>
              <w:t>0 años</w:t>
            </w:r>
          </w:p>
        </w:tc>
        <w:tc>
          <w:tcPr>
            <w:tcW w:w="1417"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05CF7">
              <w:rPr>
                <w:rFonts w:cs="Arial"/>
                <w:color w:val="000000"/>
                <w:sz w:val="20"/>
                <w:lang w:val="es-ES" w:bidi="he-IL"/>
              </w:rPr>
              <w:t>$209,732.46</w:t>
            </w:r>
          </w:p>
        </w:tc>
        <w:tc>
          <w:tcPr>
            <w:tcW w:w="851" w:type="dxa"/>
            <w:shd w:val="clear" w:color="auto" w:fill="auto"/>
          </w:tcPr>
          <w:p w:rsidR="007853CF" w:rsidRPr="00F05CF7"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05CF7">
              <w:rPr>
                <w:rFonts w:cs="Arial"/>
                <w:color w:val="000000"/>
                <w:sz w:val="20"/>
                <w:lang w:val="es-ES" w:bidi="he-IL"/>
              </w:rPr>
              <w:t>35.1</w:t>
            </w:r>
          </w:p>
        </w:tc>
        <w:tc>
          <w:tcPr>
            <w:tcW w:w="850"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05CF7">
              <w:rPr>
                <w:rFonts w:cs="Arial"/>
                <w:color w:val="000000"/>
                <w:sz w:val="20"/>
                <w:lang w:val="es-ES" w:bidi="he-IL"/>
              </w:rPr>
              <w:t>1.47</w:t>
            </w:r>
          </w:p>
        </w:tc>
      </w:tr>
      <w:tr w:rsidR="007853CF" w:rsidRPr="00FB0B6F" w:rsidTr="00EB0C48">
        <w:tc>
          <w:tcPr>
            <w:tcW w:w="4928" w:type="dxa"/>
            <w:vMerge/>
            <w:shd w:val="clear" w:color="auto" w:fill="auto"/>
          </w:tcPr>
          <w:p w:rsidR="007853CF" w:rsidRPr="00FB0B6F"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2 años</w:t>
            </w:r>
          </w:p>
        </w:tc>
        <w:tc>
          <w:tcPr>
            <w:tcW w:w="1417"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$185,138.97</w:t>
            </w:r>
          </w:p>
        </w:tc>
        <w:tc>
          <w:tcPr>
            <w:tcW w:w="851"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34.9</w:t>
            </w:r>
          </w:p>
        </w:tc>
        <w:tc>
          <w:tcPr>
            <w:tcW w:w="850"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1.47</w:t>
            </w:r>
          </w:p>
        </w:tc>
      </w:tr>
      <w:tr w:rsidR="007853CF" w:rsidRPr="00FB0B6F" w:rsidTr="00EB0C48">
        <w:tc>
          <w:tcPr>
            <w:tcW w:w="4928" w:type="dxa"/>
            <w:vMerge/>
            <w:shd w:val="clear" w:color="auto" w:fill="auto"/>
          </w:tcPr>
          <w:p w:rsidR="007853CF" w:rsidRPr="00FB0B6F" w:rsidRDefault="007853CF" w:rsidP="002E4597">
            <w:pPr>
              <w:autoSpaceDE w:val="0"/>
              <w:autoSpaceDN w:val="0"/>
              <w:adjustRightInd w:val="0"/>
              <w:spacing w:before="0" w:after="0" w:line="240" w:lineRule="auto"/>
              <w:ind w:firstLine="0"/>
              <w:rPr>
                <w:rFonts w:cs="Arial"/>
                <w:color w:val="000000"/>
                <w:sz w:val="20"/>
                <w:lang w:val="es-ES" w:bidi="he-IL"/>
              </w:rPr>
            </w:pPr>
          </w:p>
        </w:tc>
        <w:tc>
          <w:tcPr>
            <w:tcW w:w="1276" w:type="dxa"/>
            <w:shd w:val="clear" w:color="auto" w:fill="auto"/>
          </w:tcPr>
          <w:p w:rsidR="007853CF" w:rsidRPr="00FB0B6F" w:rsidRDefault="007853CF" w:rsidP="002E4597">
            <w:pPr>
              <w:autoSpaceDE w:val="0"/>
              <w:autoSpaceDN w:val="0"/>
              <w:adjustRightInd w:val="0"/>
              <w:spacing w:before="0" w:after="0" w:line="240" w:lineRule="auto"/>
              <w:ind w:firstLine="0"/>
              <w:jc w:val="center"/>
              <w:rPr>
                <w:rFonts w:cs="Arial"/>
                <w:color w:val="000000"/>
                <w:sz w:val="20"/>
                <w:lang w:val="es-ES" w:bidi="he-IL"/>
              </w:rPr>
            </w:pPr>
            <w:r w:rsidRPr="00FB0B6F">
              <w:rPr>
                <w:rFonts w:cs="Arial"/>
                <w:color w:val="000000"/>
                <w:sz w:val="20"/>
                <w:lang w:val="es-ES" w:bidi="he-IL"/>
              </w:rPr>
              <w:t>3 años</w:t>
            </w:r>
          </w:p>
        </w:tc>
        <w:tc>
          <w:tcPr>
            <w:tcW w:w="1417"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$163,180.49</w:t>
            </w:r>
          </w:p>
        </w:tc>
        <w:tc>
          <w:tcPr>
            <w:tcW w:w="851"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 xml:space="preserve">34.7 </w:t>
            </w:r>
          </w:p>
        </w:tc>
        <w:tc>
          <w:tcPr>
            <w:tcW w:w="850" w:type="dxa"/>
            <w:shd w:val="clear" w:color="auto" w:fill="auto"/>
          </w:tcPr>
          <w:p w:rsidR="007853CF" w:rsidRPr="00FB0B6F" w:rsidRDefault="007853CF" w:rsidP="002E4597">
            <w:pPr>
              <w:autoSpaceDE w:val="0"/>
              <w:autoSpaceDN w:val="0"/>
              <w:adjustRightInd w:val="0"/>
              <w:spacing w:before="0" w:after="0" w:line="240" w:lineRule="auto"/>
              <w:ind w:firstLine="0"/>
              <w:jc w:val="right"/>
              <w:rPr>
                <w:rFonts w:cs="Arial"/>
                <w:color w:val="000000"/>
                <w:sz w:val="20"/>
                <w:lang w:val="es-ES" w:bidi="he-IL"/>
              </w:rPr>
            </w:pPr>
            <w:r w:rsidRPr="00FB0B6F">
              <w:rPr>
                <w:rFonts w:cs="Arial"/>
                <w:color w:val="000000"/>
                <w:sz w:val="20"/>
                <w:lang w:val="es-ES" w:bidi="he-IL"/>
              </w:rPr>
              <w:t>1.46</w:t>
            </w:r>
          </w:p>
        </w:tc>
      </w:tr>
    </w:tbl>
    <w:p w:rsidR="007853CF" w:rsidRPr="00DD7BE5" w:rsidRDefault="007853CF" w:rsidP="007853CF">
      <w:pPr>
        <w:rPr>
          <w:noProof/>
          <w:sz w:val="18"/>
          <w:szCs w:val="18"/>
          <w:lang w:eastAsia="es-MX"/>
        </w:rPr>
      </w:pPr>
      <w:r w:rsidRPr="00DD7BE5">
        <w:rPr>
          <w:noProof/>
          <w:sz w:val="18"/>
          <w:szCs w:val="18"/>
          <w:lang w:eastAsia="es-MX"/>
        </w:rPr>
        <w:t xml:space="preserve">Fuente: Plan </w:t>
      </w:r>
      <w:r w:rsidR="000442BE">
        <w:rPr>
          <w:noProof/>
          <w:sz w:val="18"/>
          <w:szCs w:val="18"/>
          <w:lang w:eastAsia="es-MX"/>
        </w:rPr>
        <w:t>D</w:t>
      </w:r>
      <w:r w:rsidRPr="00DD7BE5">
        <w:rPr>
          <w:noProof/>
          <w:sz w:val="18"/>
          <w:szCs w:val="18"/>
          <w:lang w:eastAsia="es-MX"/>
        </w:rPr>
        <w:t xml:space="preserve">irector de las </w:t>
      </w:r>
      <w:r w:rsidR="000442BE">
        <w:rPr>
          <w:noProof/>
          <w:sz w:val="18"/>
          <w:szCs w:val="18"/>
          <w:lang w:eastAsia="es-MX"/>
        </w:rPr>
        <w:t>u</w:t>
      </w:r>
      <w:r w:rsidRPr="00DD7BE5">
        <w:rPr>
          <w:noProof/>
          <w:sz w:val="18"/>
          <w:szCs w:val="18"/>
          <w:lang w:eastAsia="es-MX"/>
        </w:rPr>
        <w:t xml:space="preserve">nidades de </w:t>
      </w:r>
      <w:r w:rsidR="000442BE">
        <w:rPr>
          <w:noProof/>
          <w:sz w:val="18"/>
          <w:szCs w:val="18"/>
          <w:lang w:eastAsia="es-MX"/>
        </w:rPr>
        <w:t>R</w:t>
      </w:r>
      <w:r w:rsidRPr="00DD7BE5">
        <w:rPr>
          <w:noProof/>
          <w:sz w:val="18"/>
          <w:szCs w:val="18"/>
          <w:lang w:eastAsia="es-MX"/>
        </w:rPr>
        <w:t>iego que integran la SRL “Desarrollo Sustentable del Valle de Perote, (UR Valle de Perote), Ver. Universidad Autónoma Chapingo</w:t>
      </w:r>
      <w:r w:rsidR="000442BE">
        <w:rPr>
          <w:noProof/>
          <w:sz w:val="18"/>
          <w:szCs w:val="18"/>
          <w:lang w:eastAsia="es-MX"/>
        </w:rPr>
        <w:t>.</w:t>
      </w:r>
      <w:r w:rsidRPr="00DD7BE5">
        <w:rPr>
          <w:noProof/>
          <w:sz w:val="18"/>
          <w:szCs w:val="18"/>
          <w:lang w:eastAsia="es-MX"/>
        </w:rPr>
        <w:t xml:space="preserve"> Diciembre de 2008</w:t>
      </w:r>
    </w:p>
    <w:p w:rsidR="007853CF" w:rsidRDefault="007853CF" w:rsidP="007853CF">
      <w:pPr>
        <w:rPr>
          <w:noProof/>
          <w:lang w:eastAsia="es-MX"/>
        </w:rPr>
      </w:pPr>
      <w:r>
        <w:rPr>
          <w:noProof/>
          <w:lang w:eastAsia="es-MX"/>
        </w:rPr>
        <w:t>Puede concluirse</w:t>
      </w:r>
      <w:r w:rsidR="007D30DC">
        <w:rPr>
          <w:noProof/>
          <w:lang w:eastAsia="es-MX"/>
        </w:rPr>
        <w:t>,</w:t>
      </w:r>
      <w:r>
        <w:rPr>
          <w:noProof/>
          <w:lang w:eastAsia="es-MX"/>
        </w:rPr>
        <w:t xml:space="preserve"> en términos generales que incrementos anuales de 5% y 10% en el monto de la inversión, o bien</w:t>
      </w:r>
      <w:r w:rsidR="007D30DC">
        <w:rPr>
          <w:noProof/>
          <w:lang w:eastAsia="es-MX"/>
        </w:rPr>
        <w:t>,</w:t>
      </w:r>
      <w:r>
        <w:rPr>
          <w:noProof/>
          <w:lang w:eastAsia="es-MX"/>
        </w:rPr>
        <w:t xml:space="preserve"> de incremento de los costos totales de producción o un desfasamiento de 2 a 3 años en el ritmo de inversión manteniendo todos los demás valores iguales no afectan la viabilidad del proyecto.</w:t>
      </w:r>
    </w:p>
    <w:p w:rsidR="007853CF" w:rsidRDefault="007853CF" w:rsidP="007853CF">
      <w:pPr>
        <w:rPr>
          <w:noProof/>
          <w:lang w:eastAsia="es-MX"/>
        </w:rPr>
      </w:pPr>
      <w:r>
        <w:rPr>
          <w:noProof/>
          <w:lang w:eastAsia="es-MX"/>
        </w:rPr>
        <w:t xml:space="preserve">Sin embargo sobre  </w:t>
      </w:r>
      <w:r w:rsidR="007D30DC">
        <w:rPr>
          <w:noProof/>
          <w:lang w:eastAsia="es-MX"/>
        </w:rPr>
        <w:t xml:space="preserve">una baja del 5% </w:t>
      </w:r>
      <w:r>
        <w:rPr>
          <w:noProof/>
          <w:lang w:eastAsia="es-MX"/>
        </w:rPr>
        <w:t>de los precios del producto agrícola o baja demanda del producto redu</w:t>
      </w:r>
      <w:r w:rsidR="002C4BE3">
        <w:rPr>
          <w:noProof/>
          <w:lang w:eastAsia="es-MX"/>
        </w:rPr>
        <w:t xml:space="preserve">ce drásticamente su viabilidad. Una baja del </w:t>
      </w:r>
      <w:r>
        <w:rPr>
          <w:noProof/>
          <w:lang w:eastAsia="es-MX"/>
        </w:rPr>
        <w:t>10% la hace prácticamente inviable.</w:t>
      </w:r>
    </w:p>
    <w:p w:rsidR="007853CF" w:rsidRDefault="002C4BE3" w:rsidP="007853CF">
      <w:pPr>
        <w:rPr>
          <w:noProof/>
          <w:lang w:eastAsia="es-MX"/>
        </w:rPr>
      </w:pPr>
      <w:r>
        <w:rPr>
          <w:noProof/>
          <w:lang w:eastAsia="es-MX"/>
        </w:rPr>
        <w:lastRenderedPageBreak/>
        <w:t>Por su parte, e</w:t>
      </w:r>
      <w:r w:rsidR="007853CF">
        <w:rPr>
          <w:noProof/>
          <w:lang w:eastAsia="es-MX"/>
        </w:rPr>
        <w:t>l Plan Director de la  Sociedad de Responsabilidad Limitada de Productores Agrícolas de Riego Atoyac-Izta del estado de Puebla, en su apartado de análisis económicos muestran que el proyecto de Inversión es viable y debe ejecutarse. La evaluación económica se realizó considerando una inversión de $61’442,010.00 para 3,068.5 ha de superficie física.</w:t>
      </w:r>
    </w:p>
    <w:tbl>
      <w:tblPr>
        <w:tblW w:w="0" w:type="auto"/>
        <w:jc w:val="center"/>
        <w:tblBorders>
          <w:top w:val="single" w:sz="12" w:space="0" w:color="008000"/>
          <w:bottom w:val="single" w:sz="12" w:space="0" w:color="008000"/>
        </w:tblBorders>
        <w:tblLayout w:type="fixed"/>
        <w:tblLook w:val="04A0"/>
      </w:tblPr>
      <w:tblGrid>
        <w:gridCol w:w="1852"/>
        <w:gridCol w:w="983"/>
        <w:gridCol w:w="1134"/>
      </w:tblGrid>
      <w:tr w:rsidR="007853CF" w:rsidRPr="00A94E07" w:rsidTr="00EB0C48">
        <w:trPr>
          <w:jc w:val="center"/>
        </w:trPr>
        <w:tc>
          <w:tcPr>
            <w:tcW w:w="1852" w:type="dxa"/>
            <w:tcBorders>
              <w:bottom w:val="single" w:sz="6" w:space="0" w:color="008000"/>
            </w:tcBorders>
            <w:shd w:val="clear" w:color="auto" w:fill="auto"/>
          </w:tcPr>
          <w:p w:rsidR="007853CF" w:rsidRPr="00A94E07" w:rsidRDefault="007853CF" w:rsidP="00EB0C48">
            <w:pPr>
              <w:autoSpaceDE w:val="0"/>
              <w:autoSpaceDN w:val="0"/>
              <w:adjustRightInd w:val="0"/>
              <w:spacing w:line="240" w:lineRule="auto"/>
              <w:ind w:firstLine="0"/>
              <w:jc w:val="center"/>
              <w:rPr>
                <w:rFonts w:cs="Arial"/>
                <w:bCs/>
                <w:color w:val="000000"/>
                <w:sz w:val="20"/>
                <w:lang w:val="es-ES"/>
              </w:rPr>
            </w:pPr>
            <w:r w:rsidRPr="00A94E07">
              <w:rPr>
                <w:rFonts w:cs="Arial"/>
                <w:bCs/>
                <w:i/>
                <w:iCs/>
                <w:color w:val="000000"/>
                <w:sz w:val="20"/>
                <w:lang w:val="es-ES" w:bidi="he-IL"/>
              </w:rPr>
              <w:t>VANS</w:t>
            </w:r>
          </w:p>
          <w:p w:rsidR="007853CF" w:rsidRPr="00A94E07" w:rsidRDefault="007853CF" w:rsidP="00EB0C48">
            <w:pPr>
              <w:autoSpaceDE w:val="0"/>
              <w:autoSpaceDN w:val="0"/>
              <w:adjustRightInd w:val="0"/>
              <w:spacing w:line="240" w:lineRule="auto"/>
              <w:ind w:firstLine="0"/>
              <w:jc w:val="center"/>
              <w:rPr>
                <w:rFonts w:cs="Arial"/>
                <w:color w:val="000000"/>
                <w:sz w:val="20"/>
                <w:lang w:val="es-ES" w:bidi="he-IL"/>
              </w:rPr>
            </w:pPr>
            <w:r w:rsidRPr="00A94E07">
              <w:rPr>
                <w:rFonts w:cs="Arial"/>
                <w:bCs/>
                <w:color w:val="000000"/>
                <w:sz w:val="20"/>
                <w:lang w:val="es-ES"/>
              </w:rPr>
              <w:t>(Miles de $)</w:t>
            </w:r>
          </w:p>
        </w:tc>
        <w:tc>
          <w:tcPr>
            <w:tcW w:w="983" w:type="dxa"/>
            <w:tcBorders>
              <w:bottom w:val="single" w:sz="6" w:space="0" w:color="008000"/>
            </w:tcBorders>
            <w:shd w:val="clear" w:color="auto" w:fill="auto"/>
          </w:tcPr>
          <w:p w:rsidR="007853CF" w:rsidRPr="00A94E07" w:rsidRDefault="007853CF" w:rsidP="00EB0C48">
            <w:pPr>
              <w:autoSpaceDE w:val="0"/>
              <w:autoSpaceDN w:val="0"/>
              <w:adjustRightInd w:val="0"/>
              <w:spacing w:line="240" w:lineRule="auto"/>
              <w:ind w:firstLine="0"/>
              <w:jc w:val="center"/>
              <w:rPr>
                <w:rFonts w:cs="Arial"/>
                <w:bCs/>
                <w:i/>
                <w:iCs/>
                <w:color w:val="000000"/>
                <w:sz w:val="20"/>
                <w:lang w:val="es-ES" w:bidi="he-IL"/>
              </w:rPr>
            </w:pPr>
            <w:r w:rsidRPr="00A94E07">
              <w:rPr>
                <w:rFonts w:cs="Arial"/>
                <w:bCs/>
                <w:i/>
                <w:iCs/>
                <w:color w:val="000000"/>
                <w:sz w:val="20"/>
                <w:lang w:val="es-ES" w:bidi="he-IL"/>
              </w:rPr>
              <w:t>TIR</w:t>
            </w:r>
          </w:p>
          <w:p w:rsidR="007853CF" w:rsidRPr="00A94E07" w:rsidRDefault="007853CF" w:rsidP="00EB0C48">
            <w:pPr>
              <w:autoSpaceDE w:val="0"/>
              <w:autoSpaceDN w:val="0"/>
              <w:adjustRightInd w:val="0"/>
              <w:spacing w:line="240" w:lineRule="auto"/>
              <w:ind w:firstLine="0"/>
              <w:jc w:val="center"/>
              <w:rPr>
                <w:rFonts w:cs="Arial"/>
                <w:color w:val="000000"/>
                <w:sz w:val="20"/>
                <w:lang w:val="es-ES" w:bidi="he-IL"/>
              </w:rPr>
            </w:pPr>
            <w:r w:rsidRPr="00A94E07">
              <w:rPr>
                <w:rFonts w:cs="Arial"/>
                <w:bCs/>
                <w:i/>
                <w:iCs/>
                <w:color w:val="000000"/>
                <w:sz w:val="20"/>
                <w:lang w:val="es-ES" w:bidi="he-IL"/>
              </w:rPr>
              <w:t>(%)</w:t>
            </w:r>
          </w:p>
        </w:tc>
        <w:tc>
          <w:tcPr>
            <w:tcW w:w="1134" w:type="dxa"/>
            <w:tcBorders>
              <w:bottom w:val="single" w:sz="6" w:space="0" w:color="008000"/>
            </w:tcBorders>
            <w:shd w:val="clear" w:color="auto" w:fill="auto"/>
          </w:tcPr>
          <w:p w:rsidR="007853CF" w:rsidRPr="00A94E07" w:rsidRDefault="007853CF" w:rsidP="00EB0C48">
            <w:pPr>
              <w:autoSpaceDE w:val="0"/>
              <w:autoSpaceDN w:val="0"/>
              <w:adjustRightInd w:val="0"/>
              <w:spacing w:line="240" w:lineRule="auto"/>
              <w:ind w:firstLine="0"/>
              <w:jc w:val="center"/>
              <w:rPr>
                <w:rFonts w:cs="Arial"/>
                <w:color w:val="000000"/>
                <w:sz w:val="20"/>
                <w:lang w:val="es-ES" w:bidi="he-IL"/>
              </w:rPr>
            </w:pPr>
            <w:r w:rsidRPr="00A94E07">
              <w:rPr>
                <w:rFonts w:cs="Arial"/>
                <w:bCs/>
                <w:i/>
                <w:iCs/>
                <w:color w:val="000000"/>
                <w:sz w:val="20"/>
                <w:lang w:val="es-ES" w:bidi="he-IL"/>
              </w:rPr>
              <w:t>B/C</w:t>
            </w:r>
          </w:p>
        </w:tc>
      </w:tr>
      <w:tr w:rsidR="007853CF" w:rsidRPr="00A94E07" w:rsidTr="00EB0C48">
        <w:trPr>
          <w:jc w:val="center"/>
        </w:trPr>
        <w:tc>
          <w:tcPr>
            <w:tcW w:w="1852" w:type="dxa"/>
            <w:shd w:val="clear" w:color="auto" w:fill="auto"/>
          </w:tcPr>
          <w:p w:rsidR="007853CF" w:rsidRPr="00A94E07" w:rsidRDefault="007853CF" w:rsidP="00EB0C48">
            <w:pPr>
              <w:autoSpaceDE w:val="0"/>
              <w:autoSpaceDN w:val="0"/>
              <w:adjustRightInd w:val="0"/>
              <w:spacing w:line="240" w:lineRule="auto"/>
              <w:ind w:firstLine="0"/>
              <w:jc w:val="right"/>
              <w:rPr>
                <w:rFonts w:cs="Arial"/>
                <w:color w:val="000000"/>
                <w:sz w:val="20"/>
                <w:lang w:val="es-ES" w:bidi="he-IL"/>
              </w:rPr>
            </w:pPr>
            <w:r w:rsidRPr="00A94E07">
              <w:rPr>
                <w:rFonts w:cs="Arial"/>
                <w:color w:val="000000"/>
                <w:sz w:val="20"/>
                <w:lang w:val="es-ES" w:bidi="he-IL"/>
              </w:rPr>
              <w:t>$196,321.00</w:t>
            </w:r>
          </w:p>
        </w:tc>
        <w:tc>
          <w:tcPr>
            <w:tcW w:w="983" w:type="dxa"/>
            <w:shd w:val="clear" w:color="auto" w:fill="auto"/>
          </w:tcPr>
          <w:p w:rsidR="007853CF" w:rsidRPr="00A94E07" w:rsidRDefault="007853CF" w:rsidP="00EB0C48">
            <w:pPr>
              <w:autoSpaceDE w:val="0"/>
              <w:autoSpaceDN w:val="0"/>
              <w:adjustRightInd w:val="0"/>
              <w:spacing w:line="240" w:lineRule="auto"/>
              <w:ind w:firstLine="0"/>
              <w:jc w:val="right"/>
              <w:rPr>
                <w:rFonts w:cs="Arial"/>
                <w:color w:val="000000"/>
                <w:sz w:val="20"/>
                <w:lang w:val="es-ES" w:bidi="he-IL"/>
              </w:rPr>
            </w:pPr>
            <w:r w:rsidRPr="00A94E07">
              <w:rPr>
                <w:rFonts w:cs="Arial"/>
                <w:color w:val="000000"/>
                <w:sz w:val="20"/>
                <w:lang w:val="es-ES" w:bidi="he-IL"/>
              </w:rPr>
              <w:t>20.50</w:t>
            </w:r>
          </w:p>
        </w:tc>
        <w:tc>
          <w:tcPr>
            <w:tcW w:w="1134" w:type="dxa"/>
            <w:shd w:val="clear" w:color="auto" w:fill="auto"/>
          </w:tcPr>
          <w:p w:rsidR="007853CF" w:rsidRPr="00A94E07" w:rsidRDefault="007853CF" w:rsidP="00EB0C48">
            <w:pPr>
              <w:autoSpaceDE w:val="0"/>
              <w:autoSpaceDN w:val="0"/>
              <w:adjustRightInd w:val="0"/>
              <w:spacing w:line="240" w:lineRule="auto"/>
              <w:ind w:firstLine="0"/>
              <w:jc w:val="right"/>
              <w:rPr>
                <w:rFonts w:cs="Arial"/>
                <w:color w:val="000000"/>
                <w:sz w:val="20"/>
                <w:lang w:val="es-ES" w:bidi="he-IL"/>
              </w:rPr>
            </w:pPr>
            <w:r w:rsidRPr="00A94E07">
              <w:rPr>
                <w:rFonts w:cs="Arial"/>
                <w:color w:val="000000"/>
                <w:sz w:val="20"/>
                <w:lang w:val="es-ES" w:bidi="he-IL"/>
              </w:rPr>
              <w:t>3.2</w:t>
            </w:r>
          </w:p>
        </w:tc>
      </w:tr>
    </w:tbl>
    <w:p w:rsidR="007853CF" w:rsidRDefault="007853CF" w:rsidP="007853CF">
      <w:pPr>
        <w:rPr>
          <w:noProof/>
          <w:lang w:eastAsia="es-MX"/>
        </w:rPr>
      </w:pPr>
    </w:p>
    <w:p w:rsidR="007853CF" w:rsidRDefault="007853CF" w:rsidP="007853CF">
      <w:pPr>
        <w:rPr>
          <w:noProof/>
          <w:lang w:eastAsia="es-MX"/>
        </w:rPr>
      </w:pPr>
      <w:r>
        <w:rPr>
          <w:noProof/>
          <w:lang w:eastAsia="es-MX"/>
        </w:rPr>
        <w:t xml:space="preserve">Esta inversión considera un porcentaje elevado riego a baja presión y resulta en un costo de promedio de $20,100/ha a precios de 2006. </w:t>
      </w:r>
    </w:p>
    <w:p w:rsidR="007853CF" w:rsidRDefault="007853CF" w:rsidP="007853CF">
      <w:pPr>
        <w:rPr>
          <w:noProof/>
          <w:lang w:eastAsia="es-MX"/>
        </w:rPr>
      </w:pPr>
      <w:r>
        <w:rPr>
          <w:noProof/>
          <w:lang w:eastAsia="es-MX"/>
        </w:rPr>
        <w:t>Con el fin de determinar los montos de inversión y para estimar que el escenario de máxima modernización y tecnificación de riego para el acuífero Huamantla-Libres-Oriental-Perote se considera una inversión de de $35,000/ha, precios de 2009.</w:t>
      </w:r>
    </w:p>
    <w:p w:rsidR="00582F69" w:rsidRPr="00B0496B" w:rsidRDefault="00B0496B" w:rsidP="008011C2">
      <w:pPr>
        <w:outlineLvl w:val="0"/>
        <w:rPr>
          <w:b/>
        </w:rPr>
      </w:pPr>
      <w:r>
        <w:rPr>
          <w:b/>
        </w:rPr>
        <w:t>USO</w:t>
      </w:r>
      <w:r w:rsidRPr="00B0496B">
        <w:rPr>
          <w:b/>
        </w:rPr>
        <w:t xml:space="preserve"> PÚBLICO-URBANO</w:t>
      </w:r>
    </w:p>
    <w:p w:rsidR="00E8351B" w:rsidRDefault="00E8351B" w:rsidP="00E8351B">
      <w:r>
        <w:t>En torno al uso público – urbano, existe un rezago en el registro de posibles aprovechamientos, además de que principalmente en las localidades rurales, son necesarios los incrementos de dotaciones y coberturas.  Esta situación se conjuga con una tasa creciente de población que anticipa un crecimiento de la demanda futura de agua.   Una de las prioridades en torno a este sector usuario, es conservar la calidad del agua subterránea, que de acuerdo con estudios, se encuentra expuesta a un elevado grado de vulnerabilidad intrínseca que se debe tanto a la alta conductividad hidráulica de los acuíferos, como a sus niveles piezométricos someros.</w:t>
      </w:r>
    </w:p>
    <w:p w:rsidR="00B0496B" w:rsidRDefault="00B0496B" w:rsidP="00B0496B">
      <w:r>
        <w:t xml:space="preserve">Se tienen registrados 214 títulos de concesión, los cuales amparan un volumen de concesionado de   </w:t>
      </w:r>
      <w:r w:rsidRPr="0010000A">
        <w:t>21</w:t>
      </w:r>
      <w:proofErr w:type="gramStart"/>
      <w:r w:rsidRPr="0010000A">
        <w:t>,980,049.1</w:t>
      </w:r>
      <w:proofErr w:type="gramEnd"/>
      <w:r>
        <w:t xml:space="preserve"> m</w:t>
      </w:r>
      <w:r w:rsidRPr="0010000A">
        <w:rPr>
          <w:vertAlign w:val="superscript"/>
        </w:rPr>
        <w:t>3</w:t>
      </w:r>
      <w:r>
        <w:t>/año.</w:t>
      </w:r>
    </w:p>
    <w:p w:rsidR="00B0496B" w:rsidRDefault="00B0496B" w:rsidP="00B0496B">
      <w:pPr>
        <w:pStyle w:val="Tabla1cap6"/>
      </w:pPr>
      <w:r w:rsidRPr="00B0496B">
        <w:t>Uso Público - Urbano. REPDA</w:t>
      </w:r>
      <w:r w:rsidR="00E8351B">
        <w:t xml:space="preserve"> </w:t>
      </w:r>
    </w:p>
    <w:tbl>
      <w:tblPr>
        <w:tblStyle w:val="Tablabsica1"/>
        <w:tblW w:w="0" w:type="auto"/>
        <w:tblInd w:w="1384" w:type="dxa"/>
        <w:tblLook w:val="04A0"/>
      </w:tblPr>
      <w:tblGrid>
        <w:gridCol w:w="1892"/>
        <w:gridCol w:w="2644"/>
        <w:gridCol w:w="1985"/>
      </w:tblGrid>
      <w:tr w:rsidR="00E8351B" w:rsidRPr="00FC6229" w:rsidTr="00E8351B">
        <w:trPr>
          <w:cnfStyle w:val="100000000000"/>
        </w:trPr>
        <w:tc>
          <w:tcPr>
            <w:tcW w:w="1892" w:type="dxa"/>
          </w:tcPr>
          <w:p w:rsidR="00E8351B" w:rsidRPr="00FC6229" w:rsidRDefault="00E8351B" w:rsidP="00E8351B">
            <w:pPr>
              <w:spacing w:before="0" w:after="0" w:line="240" w:lineRule="auto"/>
              <w:ind w:firstLine="0"/>
            </w:pPr>
            <w:r>
              <w:t>A</w:t>
            </w:r>
            <w:r w:rsidRPr="00FC6229">
              <w:t>cuífero</w:t>
            </w:r>
          </w:p>
        </w:tc>
        <w:tc>
          <w:tcPr>
            <w:tcW w:w="2644" w:type="dxa"/>
          </w:tcPr>
          <w:p w:rsidR="00E8351B" w:rsidRPr="00FC6229" w:rsidRDefault="00E8351B" w:rsidP="00E8351B">
            <w:pPr>
              <w:spacing w:before="0" w:after="0" w:line="240" w:lineRule="auto"/>
              <w:ind w:firstLine="0"/>
              <w:jc w:val="center"/>
            </w:pPr>
            <w:r>
              <w:t>V</w:t>
            </w:r>
            <w:r w:rsidRPr="00FC6229">
              <w:t>olumen</w:t>
            </w:r>
          </w:p>
        </w:tc>
        <w:tc>
          <w:tcPr>
            <w:tcW w:w="1985" w:type="dxa"/>
          </w:tcPr>
          <w:p w:rsidR="00E8351B" w:rsidRPr="00FC6229" w:rsidRDefault="00E8351B" w:rsidP="00E8351B">
            <w:pPr>
              <w:spacing w:before="0" w:after="0" w:line="240" w:lineRule="auto"/>
              <w:ind w:firstLine="0"/>
            </w:pPr>
            <w:r>
              <w:t>A</w:t>
            </w:r>
            <w:r w:rsidRPr="00FC6229">
              <w:t>provechamiento</w:t>
            </w:r>
          </w:p>
        </w:tc>
      </w:tr>
      <w:tr w:rsidR="00E8351B" w:rsidRPr="00FC6229" w:rsidTr="00E8351B">
        <w:tc>
          <w:tcPr>
            <w:tcW w:w="1892" w:type="dxa"/>
          </w:tcPr>
          <w:p w:rsidR="00E8351B" w:rsidRPr="00FC6229" w:rsidRDefault="00E8351B" w:rsidP="00E8351B">
            <w:pPr>
              <w:spacing w:before="0" w:after="0" w:line="240" w:lineRule="auto"/>
              <w:ind w:firstLine="0"/>
            </w:pPr>
            <w:r>
              <w:t>H</w:t>
            </w:r>
            <w:r w:rsidRPr="00FC6229">
              <w:t>uamantla</w:t>
            </w:r>
          </w:p>
        </w:tc>
        <w:tc>
          <w:tcPr>
            <w:tcW w:w="2644" w:type="dxa"/>
          </w:tcPr>
          <w:p w:rsidR="00E8351B" w:rsidRPr="00FC6229" w:rsidRDefault="00E8351B" w:rsidP="00E8351B">
            <w:pPr>
              <w:spacing w:before="0" w:after="0" w:line="240" w:lineRule="auto"/>
              <w:ind w:firstLine="0"/>
              <w:jc w:val="center"/>
            </w:pPr>
            <w:r w:rsidRPr="00FC6229">
              <w:t>9,643,753.0</w:t>
            </w:r>
          </w:p>
        </w:tc>
        <w:tc>
          <w:tcPr>
            <w:tcW w:w="1985" w:type="dxa"/>
          </w:tcPr>
          <w:p w:rsidR="00E8351B" w:rsidRPr="00FC6229" w:rsidRDefault="00E8351B" w:rsidP="00E8351B">
            <w:pPr>
              <w:spacing w:before="0" w:after="0" w:line="240" w:lineRule="auto"/>
              <w:ind w:firstLine="0"/>
              <w:jc w:val="center"/>
            </w:pPr>
            <w:r w:rsidRPr="00FC6229">
              <w:t>64</w:t>
            </w:r>
          </w:p>
        </w:tc>
      </w:tr>
      <w:tr w:rsidR="00E8351B" w:rsidRPr="00FC6229" w:rsidTr="00E8351B">
        <w:tc>
          <w:tcPr>
            <w:tcW w:w="1892" w:type="dxa"/>
          </w:tcPr>
          <w:p w:rsidR="00E8351B" w:rsidRPr="00FC6229" w:rsidRDefault="00E8351B" w:rsidP="00E8351B">
            <w:pPr>
              <w:spacing w:before="0" w:after="0" w:line="240" w:lineRule="auto"/>
              <w:ind w:firstLine="0"/>
            </w:pPr>
            <w:r>
              <w:t>Libres - O</w:t>
            </w:r>
            <w:r w:rsidRPr="00FC6229">
              <w:t>riental</w:t>
            </w:r>
          </w:p>
        </w:tc>
        <w:tc>
          <w:tcPr>
            <w:tcW w:w="2644" w:type="dxa"/>
          </w:tcPr>
          <w:p w:rsidR="00E8351B" w:rsidRPr="00FC6229" w:rsidRDefault="00E8351B" w:rsidP="00E8351B">
            <w:pPr>
              <w:spacing w:before="0" w:after="0" w:line="240" w:lineRule="auto"/>
              <w:ind w:firstLine="0"/>
              <w:jc w:val="center"/>
            </w:pPr>
            <w:r w:rsidRPr="00FC6229">
              <w:t>14,073,196.7</w:t>
            </w:r>
          </w:p>
        </w:tc>
        <w:tc>
          <w:tcPr>
            <w:tcW w:w="1985" w:type="dxa"/>
          </w:tcPr>
          <w:p w:rsidR="00E8351B" w:rsidRPr="00FC6229" w:rsidRDefault="00E8351B" w:rsidP="00E8351B">
            <w:pPr>
              <w:spacing w:before="0" w:after="0" w:line="240" w:lineRule="auto"/>
              <w:ind w:firstLine="0"/>
              <w:jc w:val="center"/>
            </w:pPr>
            <w:r w:rsidRPr="00FC6229">
              <w:t>137</w:t>
            </w:r>
          </w:p>
        </w:tc>
      </w:tr>
      <w:tr w:rsidR="00E8351B" w:rsidRPr="00FC6229" w:rsidTr="00E8351B">
        <w:tc>
          <w:tcPr>
            <w:tcW w:w="1892" w:type="dxa"/>
          </w:tcPr>
          <w:p w:rsidR="00E8351B" w:rsidRPr="00FC6229" w:rsidRDefault="00E8351B" w:rsidP="00E8351B">
            <w:pPr>
              <w:spacing w:before="0" w:after="0" w:line="240" w:lineRule="auto"/>
              <w:ind w:firstLine="0"/>
            </w:pPr>
            <w:r>
              <w:t>P</w:t>
            </w:r>
            <w:r w:rsidRPr="00FC6229">
              <w:t>erote</w:t>
            </w:r>
          </w:p>
        </w:tc>
        <w:tc>
          <w:tcPr>
            <w:tcW w:w="2644" w:type="dxa"/>
          </w:tcPr>
          <w:p w:rsidR="00E8351B" w:rsidRPr="00FC6229" w:rsidRDefault="00E8351B" w:rsidP="00E8351B">
            <w:pPr>
              <w:spacing w:before="0" w:after="0" w:line="240" w:lineRule="auto"/>
              <w:ind w:firstLine="0"/>
              <w:jc w:val="center"/>
            </w:pPr>
            <w:r w:rsidRPr="00FC6229">
              <w:t>833,814.3</w:t>
            </w:r>
          </w:p>
        </w:tc>
        <w:tc>
          <w:tcPr>
            <w:tcW w:w="1985" w:type="dxa"/>
          </w:tcPr>
          <w:p w:rsidR="00E8351B" w:rsidRPr="00FC6229" w:rsidRDefault="00E8351B" w:rsidP="00E8351B">
            <w:pPr>
              <w:spacing w:before="0" w:after="0" w:line="240" w:lineRule="auto"/>
              <w:ind w:firstLine="0"/>
              <w:jc w:val="center"/>
            </w:pPr>
            <w:r w:rsidRPr="00FC6229">
              <w:t>23</w:t>
            </w:r>
          </w:p>
        </w:tc>
      </w:tr>
      <w:tr w:rsidR="00E8351B" w:rsidRPr="00FC6229" w:rsidTr="00E8351B">
        <w:tc>
          <w:tcPr>
            <w:tcW w:w="1892" w:type="dxa"/>
          </w:tcPr>
          <w:p w:rsidR="00E8351B" w:rsidRPr="00FC6229" w:rsidRDefault="00E8351B" w:rsidP="00E8351B">
            <w:pPr>
              <w:spacing w:before="0" w:after="0" w:line="240" w:lineRule="auto"/>
              <w:ind w:firstLine="0"/>
            </w:pPr>
            <w:r>
              <w:t>T</w:t>
            </w:r>
            <w:r w:rsidRPr="00FC6229">
              <w:t>otal</w:t>
            </w:r>
          </w:p>
        </w:tc>
        <w:tc>
          <w:tcPr>
            <w:tcW w:w="2644" w:type="dxa"/>
          </w:tcPr>
          <w:p w:rsidR="00E8351B" w:rsidRPr="00FC6229" w:rsidRDefault="00E8351B" w:rsidP="00E8351B">
            <w:pPr>
              <w:spacing w:before="0" w:after="0" w:line="240" w:lineRule="auto"/>
              <w:ind w:firstLine="0"/>
              <w:jc w:val="center"/>
            </w:pPr>
            <w:r w:rsidRPr="00FC6229">
              <w:t>24,550,763.9</w:t>
            </w:r>
          </w:p>
        </w:tc>
        <w:tc>
          <w:tcPr>
            <w:tcW w:w="1985" w:type="dxa"/>
          </w:tcPr>
          <w:p w:rsidR="00E8351B" w:rsidRPr="00FC6229" w:rsidRDefault="00E8351B" w:rsidP="00E8351B">
            <w:pPr>
              <w:spacing w:before="0" w:after="0" w:line="240" w:lineRule="auto"/>
              <w:ind w:firstLine="0"/>
              <w:jc w:val="center"/>
            </w:pPr>
            <w:r w:rsidRPr="00FC6229">
              <w:t>224</w:t>
            </w:r>
          </w:p>
        </w:tc>
      </w:tr>
    </w:tbl>
    <w:p w:rsidR="00B0496B" w:rsidRDefault="00B0496B" w:rsidP="001D49F0">
      <w:pPr>
        <w:pStyle w:val="Piedepgina"/>
        <w:jc w:val="center"/>
      </w:pPr>
      <w:r>
        <w:t>FUENTE: Censo INEGI 2005</w:t>
      </w:r>
    </w:p>
    <w:tbl>
      <w:tblPr>
        <w:tblW w:w="4921" w:type="pct"/>
        <w:tblLayout w:type="fixed"/>
        <w:tblLook w:val="04A0"/>
      </w:tblPr>
      <w:tblGrid>
        <w:gridCol w:w="3511"/>
        <w:gridCol w:w="6237"/>
      </w:tblGrid>
      <w:tr w:rsidR="00E8351B" w:rsidTr="00E8351B">
        <w:tc>
          <w:tcPr>
            <w:tcW w:w="1801" w:type="pct"/>
          </w:tcPr>
          <w:p w:rsidR="00E8351B" w:rsidRDefault="00E8351B" w:rsidP="000442BE"/>
          <w:p w:rsidR="00E8351B" w:rsidRDefault="00E8351B" w:rsidP="000442BE">
            <w:r>
              <w:t>La mayor extracción esta en el acuífero Libres-Oriental, en el cual se tiene concesionado el 57.3% del volumen, le siguen en importancia 39.3.6% y 3.4% respectivamente.</w:t>
            </w:r>
          </w:p>
        </w:tc>
        <w:tc>
          <w:tcPr>
            <w:tcW w:w="3199" w:type="pct"/>
          </w:tcPr>
          <w:p w:rsidR="00E8351B" w:rsidRDefault="00E8351B" w:rsidP="00E8351B">
            <w:pPr>
              <w:ind w:hanging="740"/>
              <w:jc w:val="center"/>
            </w:pPr>
            <w:r w:rsidRPr="00E8351B">
              <w:rPr>
                <w:noProof/>
                <w:lang w:eastAsia="es-MX"/>
              </w:rPr>
              <w:drawing>
                <wp:inline distT="0" distB="0" distL="0" distR="0">
                  <wp:extent cx="3040083" cy="1484416"/>
                  <wp:effectExtent l="19050" t="0" r="0" b="0"/>
                  <wp:docPr id="9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srcRect l="11838" r="8411"/>
                          <a:stretch>
                            <a:fillRect/>
                          </a:stretch>
                        </pic:blipFill>
                        <pic:spPr bwMode="auto">
                          <a:xfrm>
                            <a:off x="0" y="0"/>
                            <a:ext cx="3040083" cy="1484416"/>
                          </a:xfrm>
                          <a:prstGeom prst="rect">
                            <a:avLst/>
                          </a:prstGeom>
                          <a:noFill/>
                          <a:ln w="9525">
                            <a:noFill/>
                            <a:miter lim="800000"/>
                            <a:headEnd/>
                            <a:tailEnd/>
                          </a:ln>
                        </pic:spPr>
                      </pic:pic>
                    </a:graphicData>
                  </a:graphic>
                </wp:inline>
              </w:drawing>
            </w:r>
          </w:p>
        </w:tc>
      </w:tr>
    </w:tbl>
    <w:p w:rsidR="00582F69" w:rsidRDefault="00582F69" w:rsidP="002F065B"/>
    <w:p w:rsidR="000442BE" w:rsidRPr="00A8633B" w:rsidRDefault="000442BE" w:rsidP="000442BE">
      <w:r w:rsidRPr="00A8633B">
        <w:t>La estimación de la demanda actual de agua potable y ap</w:t>
      </w:r>
      <w:r>
        <w:t>ortaciones de aguas residuales, se calculó</w:t>
      </w:r>
      <w:r w:rsidRPr="00A8633B">
        <w:t xml:space="preserve"> a partir de</w:t>
      </w:r>
      <w:r>
        <w:t xml:space="preserve"> los consumos recomendados por CONAGUA, </w:t>
      </w:r>
      <w:r w:rsidRPr="00A8633B">
        <w:t>pérdidas físicas reportadas y consumos unitarios por tipo de usuario. Para la estimación de la demanda futura, se realizó una proyección de la evolución de los consumos de agua potable para la población según cada organismo operador, asociados con la evolución esperada de pérdidas, coberturas y ajuste en los consumos de la población, en función de las normas emitidas por CONAGUA respecto del tipo de clima y estrato de población</w:t>
      </w:r>
      <w:r>
        <w:t>.</w:t>
      </w:r>
    </w:p>
    <w:p w:rsidR="000442BE" w:rsidRDefault="000442BE" w:rsidP="002F065B">
      <w:r>
        <w:t xml:space="preserve">Con base en lo anterior, se establece como recomendado un consumo promedio de 195 litros/habitante/día, a partir de una clasificación climática catalogada como templada. </w:t>
      </w:r>
    </w:p>
    <w:p w:rsidR="00D84CC9" w:rsidRPr="00A8633B" w:rsidRDefault="00D84CC9" w:rsidP="00D84CC9">
      <w:r w:rsidRPr="00A8633B">
        <w:t>La proyección de la demanda de agua potable por cada uno de los organismos operadores se realiz</w:t>
      </w:r>
      <w:r>
        <w:t>ó</w:t>
      </w:r>
      <w:r w:rsidRPr="00A8633B">
        <w:t xml:space="preserve"> con base en los consumos obtenidos </w:t>
      </w:r>
      <w:r>
        <w:t>y</w:t>
      </w:r>
      <w:r w:rsidRPr="00A8633B">
        <w:t xml:space="preserve"> tomando en cuenta las consideraciones siguientes:</w:t>
      </w:r>
    </w:p>
    <w:p w:rsidR="00D84CC9" w:rsidRPr="00501222" w:rsidRDefault="00D84CC9" w:rsidP="005426F7">
      <w:pPr>
        <w:pStyle w:val="Prrafodelista"/>
        <w:numPr>
          <w:ilvl w:val="0"/>
          <w:numId w:val="94"/>
        </w:numPr>
        <w:spacing w:line="240" w:lineRule="auto"/>
        <w:ind w:left="709"/>
      </w:pPr>
      <w:r>
        <w:t>La carencia o inexistencia de</w:t>
      </w:r>
      <w:r w:rsidRPr="00501222">
        <w:t xml:space="preserve"> información a detalle del padrón de usuarios de cada Organismo Operador, </w:t>
      </w:r>
      <w:r>
        <w:t>conllevó a un cálculo a partir de l</w:t>
      </w:r>
      <w:r w:rsidRPr="00501222">
        <w:t xml:space="preserve">a estratificación de los usuarios domésticos </w:t>
      </w:r>
      <w:r>
        <w:t xml:space="preserve">y su perfil socioeconómico, a partir de </w:t>
      </w:r>
      <w:r w:rsidRPr="00501222">
        <w:t>la distribución del salario mínimo promedio de los habitantes servidos por los Organismos Operadores.</w:t>
      </w:r>
    </w:p>
    <w:p w:rsidR="00D84CC9" w:rsidRPr="00501222" w:rsidRDefault="00D84CC9" w:rsidP="005426F7">
      <w:pPr>
        <w:pStyle w:val="Prrafodelista"/>
        <w:numPr>
          <w:ilvl w:val="0"/>
          <w:numId w:val="94"/>
        </w:numPr>
        <w:spacing w:line="240" w:lineRule="auto"/>
        <w:ind w:left="709"/>
      </w:pPr>
      <w:r w:rsidRPr="00501222">
        <w:t>Se utiliza el criterio de que en todos los casos la cobertura de agua potable se elevara hasta llegar a un promedio en la zona de estudio de casi el 99.0%</w:t>
      </w:r>
    </w:p>
    <w:p w:rsidR="00D84CC9" w:rsidRDefault="00D84CC9" w:rsidP="005426F7">
      <w:pPr>
        <w:pStyle w:val="Prrafodelista"/>
        <w:numPr>
          <w:ilvl w:val="0"/>
          <w:numId w:val="94"/>
        </w:numPr>
        <w:spacing w:line="240" w:lineRule="auto"/>
        <w:ind w:left="709"/>
        <w:rPr>
          <w:rFonts w:ascii="Times New Roman" w:hAnsi="Times New Roman"/>
          <w:sz w:val="24"/>
          <w:szCs w:val="24"/>
        </w:rPr>
      </w:pPr>
      <w:r w:rsidRPr="00501222">
        <w:t>La dotación actual promedio es de 250.0lt/</w:t>
      </w:r>
      <w:proofErr w:type="spellStart"/>
      <w:r w:rsidRPr="00501222">
        <w:t>hab</w:t>
      </w:r>
      <w:proofErr w:type="spellEnd"/>
      <w:r w:rsidRPr="00501222">
        <w:t xml:space="preserve">/día, se espera que al año 2040 se disminuya 243.8 </w:t>
      </w:r>
      <w:proofErr w:type="spellStart"/>
      <w:r w:rsidRPr="00501222">
        <w:t>lhd</w:t>
      </w:r>
      <w:proofErr w:type="spellEnd"/>
      <w:r w:rsidRPr="00501222">
        <w:t>, esto aún y considerando la aplicación y puesta en marcha de los programas de recuperación de caudales que tiene previsto los OO</w:t>
      </w:r>
      <w:r w:rsidRPr="00086944">
        <w:rPr>
          <w:rFonts w:ascii="Times New Roman" w:hAnsi="Times New Roman"/>
          <w:sz w:val="24"/>
          <w:szCs w:val="24"/>
        </w:rPr>
        <w:t>.</w:t>
      </w:r>
    </w:p>
    <w:p w:rsidR="002106B9" w:rsidRPr="009B735F" w:rsidRDefault="002106B9" w:rsidP="005426F7">
      <w:pPr>
        <w:pStyle w:val="Prrafodelista"/>
        <w:numPr>
          <w:ilvl w:val="0"/>
          <w:numId w:val="94"/>
        </w:numPr>
        <w:spacing w:line="240" w:lineRule="auto"/>
        <w:ind w:left="709"/>
        <w:rPr>
          <w:rFonts w:ascii="Times New Roman" w:hAnsi="Times New Roman"/>
          <w:sz w:val="24"/>
          <w:szCs w:val="24"/>
        </w:rPr>
      </w:pPr>
      <w:r>
        <w:t>E</w:t>
      </w:r>
      <w:r w:rsidRPr="000D138D">
        <w:t>l consumo industrial, comercial y público representan el</w:t>
      </w:r>
      <w:r>
        <w:t xml:space="preserve"> 15</w:t>
      </w:r>
      <w:r w:rsidRPr="000D138D">
        <w:t xml:space="preserve">%, </w:t>
      </w:r>
      <w:r>
        <w:t>y 5</w:t>
      </w:r>
      <w:r w:rsidRPr="000D138D">
        <w:t xml:space="preserve">% y </w:t>
      </w:r>
      <w:r>
        <w:t>5</w:t>
      </w:r>
      <w:r w:rsidRPr="000D138D">
        <w:t>.0</w:t>
      </w:r>
      <w:r>
        <w:t xml:space="preserve"> de la demanda actual, el cual a través del tiempo llegará a tener una distribución de 20%, 15% y 5%, respectivamente. </w:t>
      </w:r>
    </w:p>
    <w:p w:rsidR="002106B9" w:rsidRDefault="002106B9" w:rsidP="005426F7">
      <w:pPr>
        <w:pStyle w:val="Prrafodelista"/>
        <w:numPr>
          <w:ilvl w:val="0"/>
          <w:numId w:val="94"/>
        </w:numPr>
        <w:spacing w:line="240" w:lineRule="auto"/>
        <w:ind w:left="709"/>
      </w:pPr>
      <w:r w:rsidRPr="0072338A">
        <w:t>Debido a que el material predominante del sistema de conducción e interconexión de tanques es de acero, se estima que las pérdidas físicas de agua potable se concentran pri</w:t>
      </w:r>
      <w:r>
        <w:t>ncipal</w:t>
      </w:r>
      <w:r w:rsidRPr="0072338A">
        <w:t>mente en la red de distribución;</w:t>
      </w:r>
      <w:r>
        <w:t xml:space="preserve"> es por eso que </w:t>
      </w:r>
      <w:r w:rsidRPr="0072338A">
        <w:t xml:space="preserve">con apoyo de los gobiernos Federal y Estatal, </w:t>
      </w:r>
      <w:r>
        <w:t>se contempla</w:t>
      </w:r>
      <w:r w:rsidRPr="0072338A">
        <w:t xml:space="preserve"> realizar una serie de acciones, con la finalidad de reducir pérdidas y recuperar caudales, las cuales se reducirán del </w:t>
      </w:r>
      <w:r>
        <w:t>35% al 20.0%</w:t>
      </w:r>
    </w:p>
    <w:p w:rsidR="002106B9" w:rsidRDefault="002106B9" w:rsidP="00E9158D">
      <w:pPr>
        <w:pStyle w:val="Prrafodelista"/>
        <w:spacing w:line="240" w:lineRule="auto"/>
        <w:ind w:left="0" w:firstLine="0"/>
        <w:rPr>
          <w:rFonts w:ascii="Times New Roman" w:hAnsi="Times New Roman"/>
          <w:sz w:val="24"/>
          <w:szCs w:val="24"/>
        </w:rPr>
      </w:pPr>
    </w:p>
    <w:p w:rsidR="002106B9" w:rsidRDefault="002106B9" w:rsidP="002106B9">
      <w:r>
        <w:lastRenderedPageBreak/>
        <w:t xml:space="preserve">El consumo doméstico futuro, se obtuvo considerando que la distribución de acuerdo al tipo de usuario será del </w:t>
      </w:r>
      <w:r>
        <w:rPr>
          <w:b/>
          <w:bCs/>
        </w:rPr>
        <w:t xml:space="preserve">5% </w:t>
      </w:r>
      <w:r w:rsidRPr="002106B9">
        <w:rPr>
          <w:bCs/>
          <w:i/>
        </w:rPr>
        <w:t>del tipo residencial</w:t>
      </w:r>
      <w:r>
        <w:t xml:space="preserve"> (casas solas que cuentan con uno o más baños, jardín de 50 m² o más, lavadora y cisterna), 80</w:t>
      </w:r>
      <w:r>
        <w:rPr>
          <w:b/>
          <w:bCs/>
        </w:rPr>
        <w:t xml:space="preserve">% </w:t>
      </w:r>
      <w:r w:rsidRPr="002106B9">
        <w:rPr>
          <w:bCs/>
          <w:i/>
        </w:rPr>
        <w:t>del tipo popular</w:t>
      </w:r>
      <w:r>
        <w:t xml:space="preserve"> (vecindades o casas habitadas por uno o más familias que cuentan con jardín de 2 a 8 m² y compartiendo un baño) y el </w:t>
      </w:r>
      <w:r w:rsidRPr="002106B9">
        <w:rPr>
          <w:bCs/>
          <w:i/>
        </w:rPr>
        <w:t>15% serán usuarios medios</w:t>
      </w:r>
      <w:r>
        <w:t xml:space="preserve"> (casas o departamentos).</w:t>
      </w:r>
    </w:p>
    <w:p w:rsidR="002106B9" w:rsidRDefault="002106B9" w:rsidP="005426F7">
      <w:pPr>
        <w:pStyle w:val="Prrafodelista"/>
        <w:numPr>
          <w:ilvl w:val="0"/>
          <w:numId w:val="94"/>
        </w:numPr>
        <w:spacing w:line="240" w:lineRule="auto"/>
        <w:ind w:left="709"/>
        <w:contextualSpacing/>
      </w:pPr>
      <w:r w:rsidRPr="000D138D">
        <w:t>La oferta (producción de agua potable) y la demanda (consumos de acuerdo al tipo de usuarios) llegarán a una condición de equilibrio.</w:t>
      </w:r>
    </w:p>
    <w:p w:rsidR="002106B9" w:rsidRPr="002106B9" w:rsidRDefault="002106B9" w:rsidP="00EB0C48">
      <w:pPr>
        <w:pStyle w:val="Tabla1cap6"/>
      </w:pPr>
      <w:bookmarkStart w:id="178" w:name="_Ref263939089"/>
      <w:r>
        <w:t>Demanda de volúmenes d</w:t>
      </w:r>
      <w:r w:rsidR="00555636">
        <w:t>e agua (l/</w:t>
      </w:r>
      <w:r>
        <w:t>s) para la zona del acuífero HLOP</w:t>
      </w:r>
      <w:bookmarkEnd w:id="178"/>
    </w:p>
    <w:tbl>
      <w:tblPr>
        <w:tblW w:w="5000" w:type="pct"/>
        <w:tblBorders>
          <w:top w:val="single" w:sz="12" w:space="0" w:color="008000"/>
          <w:bottom w:val="single" w:sz="12" w:space="0" w:color="008000"/>
        </w:tblBorders>
        <w:tblLook w:val="04A0"/>
      </w:tblPr>
      <w:tblGrid>
        <w:gridCol w:w="3400"/>
        <w:gridCol w:w="921"/>
        <w:gridCol w:w="980"/>
        <w:gridCol w:w="921"/>
        <w:gridCol w:w="921"/>
        <w:gridCol w:w="921"/>
        <w:gridCol w:w="921"/>
        <w:gridCol w:w="919"/>
      </w:tblGrid>
      <w:tr w:rsidR="005426F7" w:rsidRPr="002E4597" w:rsidTr="005426F7">
        <w:tc>
          <w:tcPr>
            <w:tcW w:w="1716"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Localidad</w:t>
            </w:r>
          </w:p>
        </w:tc>
        <w:tc>
          <w:tcPr>
            <w:tcW w:w="46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2009</w:t>
            </w:r>
          </w:p>
        </w:tc>
        <w:tc>
          <w:tcPr>
            <w:tcW w:w="49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2012</w:t>
            </w:r>
          </w:p>
        </w:tc>
        <w:tc>
          <w:tcPr>
            <w:tcW w:w="46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2018</w:t>
            </w:r>
          </w:p>
        </w:tc>
        <w:tc>
          <w:tcPr>
            <w:tcW w:w="46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2024</w:t>
            </w:r>
          </w:p>
        </w:tc>
        <w:tc>
          <w:tcPr>
            <w:tcW w:w="46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2030</w:t>
            </w:r>
          </w:p>
        </w:tc>
        <w:tc>
          <w:tcPr>
            <w:tcW w:w="46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2035</w:t>
            </w:r>
          </w:p>
        </w:tc>
        <w:tc>
          <w:tcPr>
            <w:tcW w:w="465" w:type="pct"/>
            <w:tcBorders>
              <w:bottom w:val="single" w:sz="6" w:space="0" w:color="008000"/>
            </w:tcBorders>
            <w:shd w:val="clear" w:color="auto" w:fill="auto"/>
          </w:tcPr>
          <w:p w:rsidR="002106B9" w:rsidRPr="002E4597" w:rsidRDefault="002106B9" w:rsidP="002E4597">
            <w:pPr>
              <w:spacing w:before="0" w:after="0" w:line="240" w:lineRule="auto"/>
              <w:ind w:firstLine="0"/>
              <w:jc w:val="center"/>
              <w:rPr>
                <w:sz w:val="20"/>
              </w:rPr>
            </w:pPr>
            <w:r w:rsidRPr="002E4597">
              <w:rPr>
                <w:sz w:val="20"/>
              </w:rPr>
              <w:t>2040</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Ciudad Serdán</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65.5</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65.6</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65.1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64.1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62.4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60.8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58.8</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Ciudad de Libres</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43.5</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44.9</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47.3</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49.0</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50.1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50.7</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50.7</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San Salvador el Seco</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49.4</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51.4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55.0</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58.3</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61.0</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63.0</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64.6</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Huamantla</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150.8</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160.8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180.8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200.9</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220.4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236.8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252.0</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 xml:space="preserve">Villa de El Carmen </w:t>
            </w:r>
            <w:proofErr w:type="spellStart"/>
            <w:r w:rsidRPr="002E4597">
              <w:rPr>
                <w:sz w:val="20"/>
              </w:rPr>
              <w:t>Tequexquitla</w:t>
            </w:r>
            <w:proofErr w:type="spellEnd"/>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40.6</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42.8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47.1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51.4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55.5</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58.9</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62.0</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Perote</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111.1</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118.4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132.4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145.5</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157.0</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165.7</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172.7</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proofErr w:type="spellStart"/>
            <w:r w:rsidRPr="002E4597">
              <w:rPr>
                <w:sz w:val="20"/>
              </w:rPr>
              <w:t>Altotonga</w:t>
            </w:r>
            <w:proofErr w:type="spellEnd"/>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56.5</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59.2</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64.2</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68.7</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72.4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75.1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77.0</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proofErr w:type="spellStart"/>
            <w:r w:rsidRPr="002E4597">
              <w:rPr>
                <w:sz w:val="20"/>
              </w:rPr>
              <w:t>Jalacingo</w:t>
            </w:r>
            <w:proofErr w:type="spellEnd"/>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38.3</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41.2</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47.1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52.7</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58.0</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62.2</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65.8</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 xml:space="preserve">de 5,000 - menor de 10,000 </w:t>
            </w:r>
            <w:proofErr w:type="spellStart"/>
            <w:r w:rsidRPr="002E4597">
              <w:rPr>
                <w:sz w:val="20"/>
              </w:rPr>
              <w:t>hab</w:t>
            </w:r>
            <w:proofErr w:type="spellEnd"/>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278.0</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287.5</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305.8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323.2</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338.9</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351.6</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362.2</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 xml:space="preserve">de 2,500 a menor de 5,000 </w:t>
            </w:r>
            <w:proofErr w:type="spellStart"/>
            <w:r w:rsidRPr="002E4597">
              <w:rPr>
                <w:sz w:val="20"/>
              </w:rPr>
              <w:t>hab</w:t>
            </w:r>
            <w:proofErr w:type="spellEnd"/>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244.7</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255.5</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276.7</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297.2</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316.1</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331.4</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344.6</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 xml:space="preserve">de 1,000 a menor 2,500 </w:t>
            </w:r>
            <w:proofErr w:type="spellStart"/>
            <w:r w:rsidRPr="002E4597">
              <w:rPr>
                <w:sz w:val="20"/>
              </w:rPr>
              <w:t>Hab</w:t>
            </w:r>
            <w:proofErr w:type="spellEnd"/>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411.3</w:t>
            </w:r>
          </w:p>
        </w:tc>
        <w:tc>
          <w:tcPr>
            <w:tcW w:w="49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423.8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445.7</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465.8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483.3</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496.8</w:t>
            </w:r>
          </w:p>
        </w:tc>
        <w:tc>
          <w:tcPr>
            <w:tcW w:w="465" w:type="pct"/>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508.4</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 xml:space="preserve">de 100 a menor de 1,000 </w:t>
            </w:r>
            <w:proofErr w:type="spellStart"/>
            <w:r w:rsidRPr="002E4597">
              <w:rPr>
                <w:sz w:val="20"/>
              </w:rPr>
              <w:t>hab</w:t>
            </w:r>
            <w:proofErr w:type="spellEnd"/>
          </w:p>
        </w:tc>
        <w:tc>
          <w:tcPr>
            <w:tcW w:w="46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397.0</w:t>
            </w:r>
          </w:p>
        </w:tc>
        <w:tc>
          <w:tcPr>
            <w:tcW w:w="49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405.7</w:t>
            </w:r>
          </w:p>
        </w:tc>
        <w:tc>
          <w:tcPr>
            <w:tcW w:w="46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418.0</w:t>
            </w:r>
          </w:p>
        </w:tc>
        <w:tc>
          <w:tcPr>
            <w:tcW w:w="46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428.4</w:t>
            </w:r>
          </w:p>
        </w:tc>
        <w:tc>
          <w:tcPr>
            <w:tcW w:w="46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436.8</w:t>
            </w:r>
          </w:p>
        </w:tc>
        <w:tc>
          <w:tcPr>
            <w:tcW w:w="46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441.9</w:t>
            </w:r>
          </w:p>
        </w:tc>
        <w:tc>
          <w:tcPr>
            <w:tcW w:w="465" w:type="pct"/>
            <w:tcBorders>
              <w:bottom w:val="nil"/>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448.5</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 xml:space="preserve">menor a 100 </w:t>
            </w:r>
            <w:proofErr w:type="spellStart"/>
            <w:r w:rsidRPr="002E4597">
              <w:rPr>
                <w:sz w:val="20"/>
              </w:rPr>
              <w:t>hab</w:t>
            </w:r>
            <w:proofErr w:type="spellEnd"/>
          </w:p>
        </w:tc>
        <w:tc>
          <w:tcPr>
            <w:tcW w:w="46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30.8</w:t>
            </w:r>
          </w:p>
        </w:tc>
        <w:tc>
          <w:tcPr>
            <w:tcW w:w="49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31.4</w:t>
            </w:r>
          </w:p>
        </w:tc>
        <w:tc>
          <w:tcPr>
            <w:tcW w:w="46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32.0</w:t>
            </w:r>
          </w:p>
        </w:tc>
        <w:tc>
          <w:tcPr>
            <w:tcW w:w="46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32.4</w:t>
            </w:r>
          </w:p>
        </w:tc>
        <w:tc>
          <w:tcPr>
            <w:tcW w:w="46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32.7</w:t>
            </w:r>
          </w:p>
        </w:tc>
        <w:tc>
          <w:tcPr>
            <w:tcW w:w="46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32.7</w:t>
            </w:r>
          </w:p>
        </w:tc>
        <w:tc>
          <w:tcPr>
            <w:tcW w:w="465" w:type="pct"/>
            <w:tcBorders>
              <w:top w:val="nil"/>
              <w:bottom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34.1</w:t>
            </w:r>
          </w:p>
        </w:tc>
      </w:tr>
      <w:tr w:rsidR="005426F7" w:rsidRPr="002E4597" w:rsidTr="005426F7">
        <w:tc>
          <w:tcPr>
            <w:tcW w:w="1716" w:type="pct"/>
            <w:shd w:val="clear" w:color="auto" w:fill="auto"/>
          </w:tcPr>
          <w:p w:rsidR="002106B9" w:rsidRPr="002E4597" w:rsidRDefault="002106B9" w:rsidP="002E4597">
            <w:pPr>
              <w:spacing w:before="0" w:after="0" w:line="240" w:lineRule="auto"/>
              <w:ind w:firstLine="0"/>
              <w:rPr>
                <w:sz w:val="20"/>
              </w:rPr>
            </w:pPr>
            <w:r w:rsidRPr="002E4597">
              <w:rPr>
                <w:sz w:val="20"/>
              </w:rPr>
              <w:t>Total</w:t>
            </w:r>
          </w:p>
        </w:tc>
        <w:tc>
          <w:tcPr>
            <w:tcW w:w="46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1,917.4</w:t>
            </w:r>
          </w:p>
        </w:tc>
        <w:tc>
          <w:tcPr>
            <w:tcW w:w="49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1,988.1</w:t>
            </w:r>
          </w:p>
        </w:tc>
        <w:tc>
          <w:tcPr>
            <w:tcW w:w="46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2,117.3</w:t>
            </w:r>
          </w:p>
        </w:tc>
        <w:tc>
          <w:tcPr>
            <w:tcW w:w="46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2,237.6</w:t>
            </w:r>
          </w:p>
        </w:tc>
        <w:tc>
          <w:tcPr>
            <w:tcW w:w="46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2,344.5</w:t>
            </w:r>
          </w:p>
        </w:tc>
        <w:tc>
          <w:tcPr>
            <w:tcW w:w="46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2,427.6</w:t>
            </w:r>
          </w:p>
        </w:tc>
        <w:tc>
          <w:tcPr>
            <w:tcW w:w="465" w:type="pct"/>
            <w:tcBorders>
              <w:top w:val="single" w:sz="8" w:space="0" w:color="76923C"/>
            </w:tcBorders>
            <w:shd w:val="clear" w:color="auto" w:fill="auto"/>
            <w:vAlign w:val="center"/>
          </w:tcPr>
          <w:p w:rsidR="002106B9" w:rsidRPr="002E4597" w:rsidRDefault="002106B9" w:rsidP="002E4597">
            <w:pPr>
              <w:spacing w:before="0" w:after="0" w:line="240" w:lineRule="auto"/>
              <w:ind w:firstLine="0"/>
              <w:jc w:val="center"/>
              <w:rPr>
                <w:sz w:val="20"/>
              </w:rPr>
            </w:pPr>
            <w:r w:rsidRPr="002E4597">
              <w:rPr>
                <w:sz w:val="20"/>
              </w:rPr>
              <w:t>2,501.4</w:t>
            </w:r>
          </w:p>
        </w:tc>
      </w:tr>
    </w:tbl>
    <w:p w:rsidR="00D84CC9" w:rsidRDefault="00D84CC9" w:rsidP="002F065B"/>
    <w:p w:rsidR="00EB0C48" w:rsidRDefault="00EB0C48" w:rsidP="00EB0C48">
      <w:pPr>
        <w:pStyle w:val="Tabla1cap6"/>
      </w:pPr>
      <w:r>
        <w:t>Resumen de proyecciones de demanda de agua en la zona del acuífero HLOP</w:t>
      </w:r>
    </w:p>
    <w:tbl>
      <w:tblPr>
        <w:tblW w:w="5000" w:type="pct"/>
        <w:tblBorders>
          <w:top w:val="single" w:sz="12" w:space="0" w:color="008000"/>
          <w:bottom w:val="single" w:sz="12" w:space="0" w:color="008000"/>
        </w:tblBorders>
        <w:tblLook w:val="04A0"/>
      </w:tblPr>
      <w:tblGrid>
        <w:gridCol w:w="3141"/>
        <w:gridCol w:w="966"/>
        <w:gridCol w:w="966"/>
        <w:gridCol w:w="967"/>
        <w:gridCol w:w="967"/>
        <w:gridCol w:w="967"/>
        <w:gridCol w:w="967"/>
        <w:gridCol w:w="963"/>
      </w:tblGrid>
      <w:tr w:rsidR="005426F7" w:rsidRPr="00F62829" w:rsidTr="005426F7">
        <w:tc>
          <w:tcPr>
            <w:tcW w:w="1586"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Parámetro</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2009</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2012</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2018</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2024</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2030</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2035</w:t>
            </w:r>
          </w:p>
        </w:tc>
        <w:tc>
          <w:tcPr>
            <w:tcW w:w="488" w:type="pct"/>
            <w:tcBorders>
              <w:bottom w:val="single" w:sz="6" w:space="0" w:color="008000"/>
            </w:tcBorders>
            <w:shd w:val="clear" w:color="auto" w:fill="auto"/>
          </w:tcPr>
          <w:p w:rsidR="00EB0C48" w:rsidRPr="005426F7" w:rsidRDefault="00EB0C48" w:rsidP="002E4597">
            <w:pPr>
              <w:spacing w:before="0" w:after="0" w:line="240" w:lineRule="auto"/>
              <w:ind w:firstLine="0"/>
              <w:rPr>
                <w:sz w:val="20"/>
              </w:rPr>
            </w:pPr>
            <w:r w:rsidRPr="005426F7">
              <w:rPr>
                <w:sz w:val="20"/>
              </w:rPr>
              <w:t>2040</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 xml:space="preserve">Población (miles </w:t>
            </w:r>
            <w:proofErr w:type="spellStart"/>
            <w:r w:rsidRPr="005426F7">
              <w:rPr>
                <w:sz w:val="20"/>
              </w:rPr>
              <w:t>hab</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663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690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741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788</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831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860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887</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 xml:space="preserve">Población servida (miles </w:t>
            </w:r>
            <w:proofErr w:type="spellStart"/>
            <w:r w:rsidRPr="005426F7">
              <w:rPr>
                <w:sz w:val="20"/>
              </w:rPr>
              <w:t>hab</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590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625</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693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759</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823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852</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878</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Cobertura AP (%)</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89.1%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90.6%</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93.5%</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96.3%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99.0%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99.0%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99.0%</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Dotación (</w:t>
            </w:r>
            <w:proofErr w:type="spellStart"/>
            <w:r w:rsidRPr="005426F7">
              <w:rPr>
                <w:sz w:val="20"/>
              </w:rPr>
              <w:t>lhd</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250.0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248.9</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246.9</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245.2</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243.8</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243.8</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243.8</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Pérdidas físicas (%)</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40.0%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37.1%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31.4%</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25.7%</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20.0%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0.0%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48.0%</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Pérdidas físicas (</w:t>
            </w:r>
            <w:proofErr w:type="spellStart"/>
            <w:r w:rsidRPr="005426F7">
              <w:rPr>
                <w:sz w:val="20"/>
              </w:rPr>
              <w:t>lps</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767.0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738.5</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665.4</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575.4</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468.9</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485.5</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500.3</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Consumo (</w:t>
            </w:r>
            <w:proofErr w:type="spellStart"/>
            <w:r w:rsidRPr="005426F7">
              <w:rPr>
                <w:sz w:val="20"/>
              </w:rPr>
              <w:t>lps</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161.1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173.6</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198.5</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224.4</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250.9</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258.1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264.9</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Gasto producido (</w:t>
            </w:r>
            <w:proofErr w:type="spellStart"/>
            <w:r w:rsidRPr="005426F7">
              <w:rPr>
                <w:sz w:val="20"/>
              </w:rPr>
              <w:t>lps</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1,917.4</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1,988.1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2,117.3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2,237.6</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2,344.5</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2,427.6</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2,501.4</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r w:rsidRPr="005426F7">
              <w:rPr>
                <w:sz w:val="20"/>
              </w:rPr>
              <w:t>Cobertura ALC (%)</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72.8%</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76.3%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83.3%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90.3%</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97.1%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97.2%</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97.1%</w:t>
            </w:r>
          </w:p>
        </w:tc>
      </w:tr>
      <w:tr w:rsidR="005426F7" w:rsidRPr="00F62829" w:rsidTr="005426F7">
        <w:tc>
          <w:tcPr>
            <w:tcW w:w="1586" w:type="pct"/>
            <w:shd w:val="clear" w:color="auto" w:fill="auto"/>
          </w:tcPr>
          <w:p w:rsidR="00EB0C48" w:rsidRPr="005426F7" w:rsidRDefault="00EB0C48" w:rsidP="002E4597">
            <w:pPr>
              <w:spacing w:before="0" w:after="0" w:line="240" w:lineRule="auto"/>
              <w:ind w:firstLine="0"/>
              <w:rPr>
                <w:sz w:val="20"/>
              </w:rPr>
            </w:pPr>
            <w:proofErr w:type="spellStart"/>
            <w:r w:rsidRPr="005426F7">
              <w:rPr>
                <w:sz w:val="20"/>
              </w:rPr>
              <w:t>Aportacion</w:t>
            </w:r>
            <w:proofErr w:type="spellEnd"/>
            <w:r w:rsidRPr="005426F7">
              <w:rPr>
                <w:sz w:val="20"/>
              </w:rPr>
              <w:t xml:space="preserve"> de AR (</w:t>
            </w:r>
            <w:proofErr w:type="spellStart"/>
            <w:r w:rsidRPr="005426F7">
              <w:rPr>
                <w:sz w:val="20"/>
              </w:rPr>
              <w:t>lps</w:t>
            </w:r>
            <w:proofErr w:type="spellEnd"/>
            <w:r w:rsidRPr="005426F7">
              <w:rPr>
                <w:sz w:val="20"/>
              </w:rPr>
              <w:t>)</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1,438.1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1,491.1</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1,588.0</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1,678.2</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1,758.4</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1,820.7</w:t>
            </w:r>
          </w:p>
        </w:tc>
        <w:tc>
          <w:tcPr>
            <w:tcW w:w="488" w:type="pct"/>
            <w:shd w:val="clear" w:color="auto" w:fill="auto"/>
            <w:vAlign w:val="center"/>
          </w:tcPr>
          <w:p w:rsidR="00EB0C48" w:rsidRPr="005426F7" w:rsidRDefault="00EB0C48" w:rsidP="002E4597">
            <w:pPr>
              <w:spacing w:before="0" w:after="0" w:line="240" w:lineRule="auto"/>
              <w:ind w:firstLine="0"/>
              <w:jc w:val="center"/>
              <w:rPr>
                <w:sz w:val="20"/>
              </w:rPr>
            </w:pPr>
            <w:r w:rsidRPr="005426F7">
              <w:rPr>
                <w:sz w:val="20"/>
              </w:rPr>
              <w:t>1,876.0</w:t>
            </w:r>
          </w:p>
        </w:tc>
      </w:tr>
    </w:tbl>
    <w:p w:rsidR="00EB0C48" w:rsidRDefault="00EB0C48" w:rsidP="002F065B"/>
    <w:p w:rsidR="00EB0C48" w:rsidRDefault="00EB0C48" w:rsidP="002F065B">
      <w:r>
        <w:t xml:space="preserve">Con base a los resultados presentados en la </w:t>
      </w:r>
      <w:r w:rsidR="00BE2961">
        <w:fldChar w:fldCharType="begin"/>
      </w:r>
      <w:r>
        <w:instrText xml:space="preserve"> REF _Ref263939089 \r \h </w:instrText>
      </w:r>
      <w:r w:rsidR="00BE2961">
        <w:fldChar w:fldCharType="separate"/>
      </w:r>
      <w:r w:rsidR="001C36B4">
        <w:t>Tabla 6.23</w:t>
      </w:r>
      <w:r w:rsidR="00BE2961">
        <w:fldChar w:fldCharType="end"/>
      </w:r>
      <w:r>
        <w:t xml:space="preserve"> se observa que la demanda total de agua potable aumentara a futuro en casi 584 </w:t>
      </w:r>
      <w:proofErr w:type="spellStart"/>
      <w:r>
        <w:t>lps</w:t>
      </w:r>
      <w:proofErr w:type="spellEnd"/>
      <w:r>
        <w:t xml:space="preserve"> siendo las poblaciones menores a 10, 000 habitantes, quienes en conjunto, serán las más demandantes. En núcleos urbanos, las ciudades de Huamantla, </w:t>
      </w:r>
      <w:proofErr w:type="spellStart"/>
      <w:r>
        <w:t>Tlax</w:t>
      </w:r>
      <w:proofErr w:type="spellEnd"/>
      <w:r>
        <w:t xml:space="preserve">. </w:t>
      </w:r>
      <w:proofErr w:type="gramStart"/>
      <w:r>
        <w:t>y</w:t>
      </w:r>
      <w:proofErr w:type="gramEnd"/>
      <w:r>
        <w:t xml:space="preserve"> Perote, Ver. </w:t>
      </w:r>
      <w:proofErr w:type="gramStart"/>
      <w:r>
        <w:t>serán</w:t>
      </w:r>
      <w:proofErr w:type="gramEnd"/>
      <w:r>
        <w:t xml:space="preserve"> las de mayores demandas.  </w:t>
      </w:r>
    </w:p>
    <w:p w:rsidR="002E4597" w:rsidRDefault="002E4597">
      <w:pPr>
        <w:spacing w:before="0" w:after="0" w:line="240" w:lineRule="auto"/>
        <w:ind w:firstLine="0"/>
        <w:jc w:val="left"/>
        <w:rPr>
          <w:b/>
        </w:rPr>
      </w:pPr>
      <w:r>
        <w:rPr>
          <w:b/>
        </w:rPr>
        <w:br w:type="page"/>
      </w:r>
    </w:p>
    <w:p w:rsidR="000442BE" w:rsidRPr="00EB0C48" w:rsidRDefault="00EB0C48" w:rsidP="008011C2">
      <w:pPr>
        <w:outlineLvl w:val="0"/>
        <w:rPr>
          <w:b/>
        </w:rPr>
      </w:pPr>
      <w:r w:rsidRPr="00EB0C48">
        <w:rPr>
          <w:b/>
        </w:rPr>
        <w:lastRenderedPageBreak/>
        <w:t>Aportación de aguas residuales</w:t>
      </w:r>
    </w:p>
    <w:p w:rsidR="000442BE" w:rsidRDefault="00EB0C48" w:rsidP="002F065B">
      <w:r w:rsidRPr="00A8633B">
        <w:t xml:space="preserve">Para el cálculo de la aportación futura de aguas residuales se </w:t>
      </w:r>
      <w:r w:rsidR="001E2670">
        <w:t xml:space="preserve">parte de </w:t>
      </w:r>
      <w:r>
        <w:t xml:space="preserve">que la </w:t>
      </w:r>
      <w:r w:rsidRPr="00A8633B">
        <w:t xml:space="preserve">cobertura de alcantarillado siempre tendrá un rezago con respecto a la cobertura de agua potable, </w:t>
      </w:r>
      <w:r w:rsidR="001E2670">
        <w:t xml:space="preserve">por lo que se </w:t>
      </w:r>
      <w:r w:rsidRPr="00A8633B">
        <w:t xml:space="preserve">considera que la cobertura de alcantarillado evolucionará a través del tiempo del </w:t>
      </w:r>
      <w:r>
        <w:t>72.8</w:t>
      </w:r>
      <w:r w:rsidR="001E2670">
        <w:t>% al 97.1</w:t>
      </w:r>
      <w:r w:rsidR="00EB6E04">
        <w:t>% (</w:t>
      </w:r>
      <w:r w:rsidR="00BE2961">
        <w:fldChar w:fldCharType="begin"/>
      </w:r>
      <w:r w:rsidR="00EB6E04">
        <w:instrText xml:space="preserve"> REF _Ref263939933 \r \h </w:instrText>
      </w:r>
      <w:r w:rsidR="00BE2961">
        <w:fldChar w:fldCharType="separate"/>
      </w:r>
      <w:r w:rsidR="001C36B4">
        <w:t>Tabla 6.25</w:t>
      </w:r>
      <w:r w:rsidR="00BE2961">
        <w:fldChar w:fldCharType="end"/>
      </w:r>
      <w:r w:rsidR="00EB6E04">
        <w:t>).</w:t>
      </w:r>
    </w:p>
    <w:p w:rsidR="001E2670" w:rsidRDefault="001E2670" w:rsidP="001E2670">
      <w:pPr>
        <w:pStyle w:val="Tabla1cap6"/>
      </w:pPr>
      <w:bookmarkStart w:id="179" w:name="_Ref263939933"/>
      <w:r>
        <w:t>Coberturas de alcantarillado</w:t>
      </w:r>
      <w:bookmarkEnd w:id="179"/>
    </w:p>
    <w:tbl>
      <w:tblPr>
        <w:tblW w:w="5000" w:type="pct"/>
        <w:jc w:val="center"/>
        <w:tblBorders>
          <w:top w:val="single" w:sz="12" w:space="0" w:color="008000"/>
          <w:bottom w:val="single" w:sz="12" w:space="0" w:color="008000"/>
        </w:tblBorders>
        <w:tblLook w:val="04A0"/>
      </w:tblPr>
      <w:tblGrid>
        <w:gridCol w:w="3355"/>
        <w:gridCol w:w="921"/>
        <w:gridCol w:w="921"/>
        <w:gridCol w:w="921"/>
        <w:gridCol w:w="943"/>
        <w:gridCol w:w="949"/>
        <w:gridCol w:w="949"/>
        <w:gridCol w:w="945"/>
      </w:tblGrid>
      <w:tr w:rsidR="005426F7" w:rsidRPr="005426F7" w:rsidTr="005426F7">
        <w:trPr>
          <w:jc w:val="center"/>
        </w:trPr>
        <w:tc>
          <w:tcPr>
            <w:tcW w:w="1694" w:type="pct"/>
            <w:tcBorders>
              <w:bottom w:val="single" w:sz="6" w:space="0" w:color="008000"/>
            </w:tcBorders>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Localidad</w:t>
            </w:r>
          </w:p>
        </w:tc>
        <w:tc>
          <w:tcPr>
            <w:tcW w:w="465"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2009</w:t>
            </w:r>
          </w:p>
        </w:tc>
        <w:tc>
          <w:tcPr>
            <w:tcW w:w="465"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2012</w:t>
            </w:r>
          </w:p>
        </w:tc>
        <w:tc>
          <w:tcPr>
            <w:tcW w:w="465"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2018</w:t>
            </w:r>
          </w:p>
        </w:tc>
        <w:tc>
          <w:tcPr>
            <w:tcW w:w="476"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2024</w:t>
            </w:r>
          </w:p>
        </w:tc>
        <w:tc>
          <w:tcPr>
            <w:tcW w:w="479"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2030</w:t>
            </w:r>
          </w:p>
        </w:tc>
        <w:tc>
          <w:tcPr>
            <w:tcW w:w="479"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2035</w:t>
            </w:r>
          </w:p>
        </w:tc>
        <w:tc>
          <w:tcPr>
            <w:tcW w:w="479"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2040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Ciudad Serdán</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Ciudad de Libres</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100.0%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San Salvador el Seco</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Huamantla</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82.7%</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84.9%</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89.3%</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93.6%</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98.0%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Villa de El Carmen </w:t>
            </w:r>
            <w:proofErr w:type="spellStart"/>
            <w:r w:rsidRPr="005426F7">
              <w:rPr>
                <w:sz w:val="18"/>
                <w:szCs w:val="18"/>
              </w:rPr>
              <w:t>Tequexquitla</w:t>
            </w:r>
            <w:proofErr w:type="spellEnd"/>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93.2%</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93.7%</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94.8%</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95.9%</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Perote</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68.4%</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72.5%</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80.6%</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88.8%</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proofErr w:type="spellStart"/>
            <w:r w:rsidRPr="005426F7">
              <w:rPr>
                <w:sz w:val="18"/>
                <w:szCs w:val="18"/>
              </w:rPr>
              <w:t>Altotonga</w:t>
            </w:r>
            <w:proofErr w:type="spellEnd"/>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61.7%</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66.7%</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76.8%</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86.9%</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proofErr w:type="spellStart"/>
            <w:r w:rsidRPr="005426F7">
              <w:rPr>
                <w:sz w:val="18"/>
                <w:szCs w:val="18"/>
              </w:rPr>
              <w:t>Jalacingo</w:t>
            </w:r>
            <w:proofErr w:type="spellEnd"/>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42.6%</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50.4%</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65.9%</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81.5%</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5,000 - menor de  10,000 </w:t>
            </w:r>
            <w:proofErr w:type="spellStart"/>
            <w:r w:rsidRPr="005426F7">
              <w:rPr>
                <w:sz w:val="18"/>
                <w:szCs w:val="18"/>
              </w:rPr>
              <w:t>hab</w:t>
            </w:r>
            <w:proofErr w:type="spellEnd"/>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54.0%</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60.2%</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72.5%</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84.7%</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2,500 a menor de 5,000 </w:t>
            </w:r>
            <w:proofErr w:type="spellStart"/>
            <w:r w:rsidRPr="005426F7">
              <w:rPr>
                <w:sz w:val="18"/>
                <w:szCs w:val="18"/>
              </w:rPr>
              <w:t>hab</w:t>
            </w:r>
            <w:proofErr w:type="spellEnd"/>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88.6%</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89.8%</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92.2%</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94.6%</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1,000 a menor 2,500 </w:t>
            </w:r>
            <w:proofErr w:type="spellStart"/>
            <w:r w:rsidRPr="005426F7">
              <w:rPr>
                <w:sz w:val="18"/>
                <w:szCs w:val="18"/>
              </w:rPr>
              <w:t>hab</w:t>
            </w:r>
            <w:proofErr w:type="spellEnd"/>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80.2%</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82.6%</w:t>
            </w:r>
          </w:p>
        </w:tc>
        <w:tc>
          <w:tcPr>
            <w:tcW w:w="46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87.4%</w:t>
            </w:r>
          </w:p>
        </w:tc>
        <w:tc>
          <w:tcPr>
            <w:tcW w:w="476"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92.2%</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100 a menor de 1,000 </w:t>
            </w:r>
            <w:proofErr w:type="spellStart"/>
            <w:r w:rsidRPr="005426F7">
              <w:rPr>
                <w:sz w:val="18"/>
                <w:szCs w:val="18"/>
              </w:rPr>
              <w:t>hab</w:t>
            </w:r>
            <w:proofErr w:type="spellEnd"/>
          </w:p>
        </w:tc>
        <w:tc>
          <w:tcPr>
            <w:tcW w:w="465"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55.7%</w:t>
            </w:r>
          </w:p>
        </w:tc>
        <w:tc>
          <w:tcPr>
            <w:tcW w:w="465"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61.9%</w:t>
            </w:r>
          </w:p>
        </w:tc>
        <w:tc>
          <w:tcPr>
            <w:tcW w:w="465"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74.0%</w:t>
            </w:r>
          </w:p>
        </w:tc>
        <w:tc>
          <w:tcPr>
            <w:tcW w:w="476"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85.6%</w:t>
            </w:r>
          </w:p>
        </w:tc>
        <w:tc>
          <w:tcPr>
            <w:tcW w:w="479"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menor a 100 </w:t>
            </w:r>
            <w:proofErr w:type="spellStart"/>
            <w:r w:rsidRPr="005426F7">
              <w:rPr>
                <w:sz w:val="18"/>
                <w:szCs w:val="18"/>
              </w:rPr>
              <w:t>hab</w:t>
            </w:r>
            <w:proofErr w:type="spellEnd"/>
          </w:p>
        </w:tc>
        <w:tc>
          <w:tcPr>
            <w:tcW w:w="465"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67.0%</w:t>
            </w:r>
          </w:p>
        </w:tc>
        <w:tc>
          <w:tcPr>
            <w:tcW w:w="465"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71.4%</w:t>
            </w:r>
          </w:p>
        </w:tc>
        <w:tc>
          <w:tcPr>
            <w:tcW w:w="465"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80.0%</w:t>
            </w:r>
          </w:p>
        </w:tc>
        <w:tc>
          <w:tcPr>
            <w:tcW w:w="476"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88.5%</w:t>
            </w:r>
          </w:p>
        </w:tc>
        <w:tc>
          <w:tcPr>
            <w:tcW w:w="479"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c>
          <w:tcPr>
            <w:tcW w:w="479"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w:t>
            </w:r>
          </w:p>
        </w:tc>
      </w:tr>
      <w:tr w:rsidR="005426F7" w:rsidRPr="005426F7" w:rsidTr="005426F7">
        <w:trPr>
          <w:jc w:val="center"/>
        </w:trPr>
        <w:tc>
          <w:tcPr>
            <w:tcW w:w="1694"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Total</w:t>
            </w:r>
          </w:p>
        </w:tc>
        <w:tc>
          <w:tcPr>
            <w:tcW w:w="465"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72.78%</w:t>
            </w:r>
          </w:p>
        </w:tc>
        <w:tc>
          <w:tcPr>
            <w:tcW w:w="465"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76.32%</w:t>
            </w:r>
          </w:p>
        </w:tc>
        <w:tc>
          <w:tcPr>
            <w:tcW w:w="465"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83.34%</w:t>
            </w:r>
          </w:p>
        </w:tc>
        <w:tc>
          <w:tcPr>
            <w:tcW w:w="476"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90.29%</w:t>
            </w:r>
          </w:p>
        </w:tc>
        <w:tc>
          <w:tcPr>
            <w:tcW w:w="479"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97.09%</w:t>
            </w:r>
          </w:p>
        </w:tc>
        <w:tc>
          <w:tcPr>
            <w:tcW w:w="479"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97.2%</w:t>
            </w:r>
          </w:p>
        </w:tc>
        <w:tc>
          <w:tcPr>
            <w:tcW w:w="479"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97.1%</w:t>
            </w:r>
          </w:p>
        </w:tc>
      </w:tr>
    </w:tbl>
    <w:p w:rsidR="001E2670" w:rsidRDefault="001E2670" w:rsidP="002F065B"/>
    <w:p w:rsidR="001E2670" w:rsidRDefault="001E2670" w:rsidP="002F065B">
      <w:r>
        <w:t xml:space="preserve">Considerando un coeficiente de retorno, el volumen en litros por segundo, se incrementa en 437.9 </w:t>
      </w:r>
      <w:proofErr w:type="spellStart"/>
      <w:r>
        <w:t>lps</w:t>
      </w:r>
      <w:proofErr w:type="spellEnd"/>
      <w:r>
        <w:t>, pasando de 1,438.1 en e</w:t>
      </w:r>
      <w:r w:rsidR="00EB6E04">
        <w:t>l</w:t>
      </w:r>
      <w:r>
        <w:t xml:space="preserve"> año 2009  a 1,876.0 </w:t>
      </w:r>
      <w:proofErr w:type="spellStart"/>
      <w:r>
        <w:t>lps</w:t>
      </w:r>
      <w:proofErr w:type="spellEnd"/>
      <w:r>
        <w:t xml:space="preserve"> en el año 2040</w:t>
      </w:r>
      <w:r w:rsidR="00EB6E04">
        <w:t xml:space="preserve"> (</w:t>
      </w:r>
      <w:r w:rsidR="00BE2961">
        <w:fldChar w:fldCharType="begin"/>
      </w:r>
      <w:r w:rsidR="00EB6E04">
        <w:instrText xml:space="preserve"> REF _Ref263939952 \r \h </w:instrText>
      </w:r>
      <w:r w:rsidR="00BE2961">
        <w:fldChar w:fldCharType="separate"/>
      </w:r>
      <w:r w:rsidR="001C36B4">
        <w:t>Tabla 6.26</w:t>
      </w:r>
      <w:r w:rsidR="00BE2961">
        <w:fldChar w:fldCharType="end"/>
      </w:r>
      <w:r w:rsidR="00EB6E04">
        <w:t>).</w:t>
      </w:r>
    </w:p>
    <w:p w:rsidR="000442BE" w:rsidRDefault="001E2670" w:rsidP="002E4597">
      <w:pPr>
        <w:pStyle w:val="Tabla1cap6"/>
        <w:spacing w:before="0" w:after="0"/>
        <w:ind w:left="357" w:hanging="357"/>
      </w:pPr>
      <w:bookmarkStart w:id="180" w:name="_Ref263939952"/>
      <w:r>
        <w:t>Aportación de aguas residuales (</w:t>
      </w:r>
      <w:proofErr w:type="spellStart"/>
      <w:r>
        <w:t>lps</w:t>
      </w:r>
      <w:proofErr w:type="spellEnd"/>
      <w:r>
        <w:t>)</w:t>
      </w:r>
      <w:bookmarkEnd w:id="180"/>
    </w:p>
    <w:tbl>
      <w:tblPr>
        <w:tblW w:w="5000" w:type="pct"/>
        <w:tblBorders>
          <w:top w:val="single" w:sz="12" w:space="0" w:color="008000"/>
          <w:bottom w:val="single" w:sz="12" w:space="0" w:color="008000"/>
        </w:tblBorders>
        <w:tblLook w:val="04A0"/>
      </w:tblPr>
      <w:tblGrid>
        <w:gridCol w:w="3234"/>
        <w:gridCol w:w="1000"/>
        <w:gridCol w:w="913"/>
        <w:gridCol w:w="945"/>
        <w:gridCol w:w="953"/>
        <w:gridCol w:w="953"/>
        <w:gridCol w:w="953"/>
        <w:gridCol w:w="953"/>
      </w:tblGrid>
      <w:tr w:rsidR="005426F7" w:rsidRPr="005426F7" w:rsidTr="005426F7">
        <w:tc>
          <w:tcPr>
            <w:tcW w:w="1633" w:type="pct"/>
            <w:tcBorders>
              <w:bottom w:val="single" w:sz="6" w:space="0" w:color="008000"/>
            </w:tcBorders>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Localidad</w:t>
            </w:r>
          </w:p>
        </w:tc>
        <w:tc>
          <w:tcPr>
            <w:tcW w:w="505"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2009</w:t>
            </w:r>
          </w:p>
        </w:tc>
        <w:tc>
          <w:tcPr>
            <w:tcW w:w="461"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2012</w:t>
            </w:r>
          </w:p>
        </w:tc>
        <w:tc>
          <w:tcPr>
            <w:tcW w:w="477"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2018</w:t>
            </w:r>
          </w:p>
        </w:tc>
        <w:tc>
          <w:tcPr>
            <w:tcW w:w="481"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2024</w:t>
            </w:r>
          </w:p>
        </w:tc>
        <w:tc>
          <w:tcPr>
            <w:tcW w:w="481"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2030</w:t>
            </w:r>
          </w:p>
        </w:tc>
        <w:tc>
          <w:tcPr>
            <w:tcW w:w="481"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2035</w:t>
            </w:r>
          </w:p>
        </w:tc>
        <w:tc>
          <w:tcPr>
            <w:tcW w:w="481" w:type="pct"/>
            <w:tcBorders>
              <w:bottom w:val="single" w:sz="6" w:space="0" w:color="008000"/>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2040</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Ciudad Serdán</w:t>
            </w:r>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49.2</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49.2</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48.8</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48.0</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46.8</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45.6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44.1</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Ciudad de Libres</w:t>
            </w:r>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32.6</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33.7</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35.5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36.8</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37.6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38.0</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38.0</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San Salvador el Seco</w:t>
            </w:r>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37.1</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38.6</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41.3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43.7</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45.7</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47.3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48.4</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Huamantla</w:t>
            </w:r>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113.1</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120.6</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135.6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150.7</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165.3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177.6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189.0</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Villa de El Carmen </w:t>
            </w:r>
            <w:proofErr w:type="spellStart"/>
            <w:r w:rsidRPr="005426F7">
              <w:rPr>
                <w:sz w:val="18"/>
                <w:szCs w:val="18"/>
              </w:rPr>
              <w:t>Tequexquitla</w:t>
            </w:r>
            <w:proofErr w:type="spellEnd"/>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30.5</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32.1</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35.3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38.5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41.6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44.2</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46.5</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Perote</w:t>
            </w:r>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83.3</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88.8</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99.3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109.1</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117.8</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124.3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129.5</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proofErr w:type="spellStart"/>
            <w:r w:rsidRPr="005426F7">
              <w:rPr>
                <w:sz w:val="18"/>
                <w:szCs w:val="18"/>
              </w:rPr>
              <w:t>Altotonga</w:t>
            </w:r>
            <w:proofErr w:type="spellEnd"/>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42.4</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44.4</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48.1</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51.5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54.3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56.3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57.8</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proofErr w:type="spellStart"/>
            <w:r w:rsidRPr="005426F7">
              <w:rPr>
                <w:sz w:val="18"/>
                <w:szCs w:val="18"/>
              </w:rPr>
              <w:t>Jalacingo</w:t>
            </w:r>
            <w:proofErr w:type="spellEnd"/>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28.7</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30.9</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35.3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39.6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43.5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46.7</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49.4</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5,000 - menor de 10,000 </w:t>
            </w:r>
            <w:proofErr w:type="spellStart"/>
            <w:r w:rsidRPr="005426F7">
              <w:rPr>
                <w:sz w:val="18"/>
                <w:szCs w:val="18"/>
              </w:rPr>
              <w:t>hab</w:t>
            </w:r>
            <w:proofErr w:type="spellEnd"/>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208.5</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215.6</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229.4</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242.4</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254.2</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263.7</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271.6</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2,500 a menor de 5,000 </w:t>
            </w:r>
            <w:proofErr w:type="spellStart"/>
            <w:r w:rsidRPr="005426F7">
              <w:rPr>
                <w:sz w:val="18"/>
                <w:szCs w:val="18"/>
              </w:rPr>
              <w:t>hab</w:t>
            </w:r>
            <w:proofErr w:type="spellEnd"/>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183.5</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191.6</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207.5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222.9</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237.1</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248.5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258.5</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1,000 a menor 2,500 </w:t>
            </w:r>
            <w:proofErr w:type="spellStart"/>
            <w:r w:rsidRPr="005426F7">
              <w:rPr>
                <w:sz w:val="18"/>
                <w:szCs w:val="18"/>
              </w:rPr>
              <w:t>hab</w:t>
            </w:r>
            <w:proofErr w:type="spellEnd"/>
          </w:p>
        </w:tc>
        <w:tc>
          <w:tcPr>
            <w:tcW w:w="505"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308.5</w:t>
            </w:r>
          </w:p>
        </w:tc>
        <w:tc>
          <w:tcPr>
            <w:tcW w:w="46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317.9</w:t>
            </w:r>
          </w:p>
        </w:tc>
        <w:tc>
          <w:tcPr>
            <w:tcW w:w="477"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334.3</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349.4</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362.5</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372.6</w:t>
            </w:r>
          </w:p>
        </w:tc>
        <w:tc>
          <w:tcPr>
            <w:tcW w:w="481" w:type="pct"/>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381.3</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de 100 a menor de 1,000 </w:t>
            </w:r>
            <w:proofErr w:type="spellStart"/>
            <w:r w:rsidRPr="005426F7">
              <w:rPr>
                <w:sz w:val="18"/>
                <w:szCs w:val="18"/>
              </w:rPr>
              <w:t>hab</w:t>
            </w:r>
            <w:proofErr w:type="spellEnd"/>
          </w:p>
        </w:tc>
        <w:tc>
          <w:tcPr>
            <w:tcW w:w="505"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297.8</w:t>
            </w:r>
          </w:p>
        </w:tc>
        <w:tc>
          <w:tcPr>
            <w:tcW w:w="461"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304.3</w:t>
            </w:r>
          </w:p>
        </w:tc>
        <w:tc>
          <w:tcPr>
            <w:tcW w:w="477"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313.5</w:t>
            </w:r>
          </w:p>
        </w:tc>
        <w:tc>
          <w:tcPr>
            <w:tcW w:w="481"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321.3</w:t>
            </w:r>
          </w:p>
        </w:tc>
        <w:tc>
          <w:tcPr>
            <w:tcW w:w="481"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327.6</w:t>
            </w:r>
          </w:p>
        </w:tc>
        <w:tc>
          <w:tcPr>
            <w:tcW w:w="481"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331.4</w:t>
            </w:r>
          </w:p>
        </w:tc>
        <w:tc>
          <w:tcPr>
            <w:tcW w:w="481" w:type="pct"/>
            <w:tcBorders>
              <w:bottom w:val="nil"/>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336.4</w:t>
            </w:r>
          </w:p>
        </w:tc>
      </w:tr>
      <w:tr w:rsidR="005426F7" w:rsidRPr="005426F7" w:rsidTr="005426F7">
        <w:trPr>
          <w:trHeight w:val="96"/>
        </w:trPr>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 xml:space="preserve">menor a 100 </w:t>
            </w:r>
            <w:proofErr w:type="spellStart"/>
            <w:r w:rsidRPr="005426F7">
              <w:rPr>
                <w:sz w:val="18"/>
                <w:szCs w:val="18"/>
              </w:rPr>
              <w:t>hab</w:t>
            </w:r>
            <w:proofErr w:type="spellEnd"/>
          </w:p>
        </w:tc>
        <w:tc>
          <w:tcPr>
            <w:tcW w:w="505"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23.1</w:t>
            </w:r>
          </w:p>
        </w:tc>
        <w:tc>
          <w:tcPr>
            <w:tcW w:w="461"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23.5</w:t>
            </w:r>
          </w:p>
        </w:tc>
        <w:tc>
          <w:tcPr>
            <w:tcW w:w="477"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24.0</w:t>
            </w:r>
          </w:p>
        </w:tc>
        <w:tc>
          <w:tcPr>
            <w:tcW w:w="481"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24.3</w:t>
            </w:r>
          </w:p>
        </w:tc>
        <w:tc>
          <w:tcPr>
            <w:tcW w:w="481"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24.5</w:t>
            </w:r>
          </w:p>
        </w:tc>
        <w:tc>
          <w:tcPr>
            <w:tcW w:w="481"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24.5</w:t>
            </w:r>
          </w:p>
        </w:tc>
        <w:tc>
          <w:tcPr>
            <w:tcW w:w="481" w:type="pct"/>
            <w:tcBorders>
              <w:top w:val="nil"/>
              <w:bottom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25.6</w:t>
            </w:r>
          </w:p>
        </w:tc>
      </w:tr>
      <w:tr w:rsidR="005426F7" w:rsidRPr="005426F7" w:rsidTr="005426F7">
        <w:tc>
          <w:tcPr>
            <w:tcW w:w="1633" w:type="pct"/>
            <w:shd w:val="clear" w:color="auto" w:fill="auto"/>
          </w:tcPr>
          <w:p w:rsidR="001E2670" w:rsidRPr="005426F7" w:rsidRDefault="001E2670" w:rsidP="002E4597">
            <w:pPr>
              <w:spacing w:before="0" w:after="0" w:line="240" w:lineRule="auto"/>
              <w:ind w:firstLine="0"/>
              <w:rPr>
                <w:sz w:val="18"/>
                <w:szCs w:val="18"/>
              </w:rPr>
            </w:pPr>
            <w:r w:rsidRPr="005426F7">
              <w:rPr>
                <w:sz w:val="18"/>
                <w:szCs w:val="18"/>
              </w:rPr>
              <w:t>Total</w:t>
            </w:r>
          </w:p>
        </w:tc>
        <w:tc>
          <w:tcPr>
            <w:tcW w:w="505"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1,438.1</w:t>
            </w:r>
          </w:p>
        </w:tc>
        <w:tc>
          <w:tcPr>
            <w:tcW w:w="461"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1,491.1</w:t>
            </w:r>
          </w:p>
        </w:tc>
        <w:tc>
          <w:tcPr>
            <w:tcW w:w="477"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1,588.0</w:t>
            </w:r>
          </w:p>
        </w:tc>
        <w:tc>
          <w:tcPr>
            <w:tcW w:w="481"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1,678.2</w:t>
            </w:r>
          </w:p>
        </w:tc>
        <w:tc>
          <w:tcPr>
            <w:tcW w:w="481"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1,758.4</w:t>
            </w:r>
          </w:p>
        </w:tc>
        <w:tc>
          <w:tcPr>
            <w:tcW w:w="481"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1,820.7</w:t>
            </w:r>
          </w:p>
        </w:tc>
        <w:tc>
          <w:tcPr>
            <w:tcW w:w="481" w:type="pct"/>
            <w:tcBorders>
              <w:top w:val="single" w:sz="8" w:space="0" w:color="76923C"/>
            </w:tcBorders>
            <w:shd w:val="clear" w:color="auto" w:fill="auto"/>
          </w:tcPr>
          <w:p w:rsidR="001E2670" w:rsidRPr="005426F7" w:rsidRDefault="001E2670" w:rsidP="002E4597">
            <w:pPr>
              <w:spacing w:before="0" w:after="0" w:line="240" w:lineRule="auto"/>
              <w:ind w:firstLine="0"/>
              <w:jc w:val="center"/>
              <w:rPr>
                <w:sz w:val="18"/>
                <w:szCs w:val="18"/>
              </w:rPr>
            </w:pPr>
            <w:r w:rsidRPr="005426F7">
              <w:rPr>
                <w:sz w:val="18"/>
                <w:szCs w:val="18"/>
              </w:rPr>
              <w:t>1,876.0</w:t>
            </w:r>
          </w:p>
        </w:tc>
      </w:tr>
    </w:tbl>
    <w:p w:rsidR="000E53DB" w:rsidRDefault="000E53DB" w:rsidP="002F065B"/>
    <w:p w:rsidR="000E53DB" w:rsidRDefault="000E53DB" w:rsidP="002F065B"/>
    <w:p w:rsidR="000442BE" w:rsidRDefault="000E53DB" w:rsidP="002F065B">
      <w:r>
        <w:t>En  la siguiente figura, se muestra la aportación municipal de aguas residuales.</w:t>
      </w:r>
    </w:p>
    <w:p w:rsidR="000E53DB" w:rsidRDefault="000E53DB" w:rsidP="002F065B"/>
    <w:p w:rsidR="000E53DB" w:rsidRDefault="000E53DB" w:rsidP="002F065B"/>
    <w:p w:rsidR="000E53DB" w:rsidRPr="001C36B4" w:rsidRDefault="000E53DB" w:rsidP="001C36B4">
      <w:pPr>
        <w:pStyle w:val="figura1cap6"/>
        <w:ind w:left="0" w:firstLine="0"/>
        <w:rPr>
          <w:rFonts w:eastAsia="Calibri"/>
          <w:szCs w:val="22"/>
        </w:rPr>
      </w:pPr>
      <w:r w:rsidRPr="001C36B4">
        <w:rPr>
          <w:rFonts w:eastAsia="Calibri"/>
          <w:szCs w:val="22"/>
        </w:rPr>
        <w:lastRenderedPageBreak/>
        <w:t>Aportación de aguas res</w:t>
      </w:r>
      <w:r w:rsidR="001C36B4" w:rsidRPr="001C36B4">
        <w:rPr>
          <w:rFonts w:eastAsia="Calibri"/>
          <w:szCs w:val="22"/>
        </w:rPr>
        <w:t>iduales</w:t>
      </w:r>
    </w:p>
    <w:p w:rsidR="002E4597" w:rsidRDefault="000E53DB" w:rsidP="001D49F0">
      <w:pPr>
        <w:ind w:firstLine="0"/>
      </w:pPr>
      <w:r>
        <w:rPr>
          <w:noProof/>
          <w:lang w:eastAsia="es-MX"/>
        </w:rPr>
        <w:drawing>
          <wp:inline distT="0" distB="0" distL="0" distR="0">
            <wp:extent cx="6151880" cy="4753610"/>
            <wp:effectExtent l="19050" t="0" r="1270" b="0"/>
            <wp:docPr id="11" name="10 Imagen" descr="hlop_alc_aportacion a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op_alc_aportacion ar.gif"/>
                    <pic:cNvPicPr/>
                  </pic:nvPicPr>
                  <pic:blipFill>
                    <a:blip r:embed="rId82" cstate="print"/>
                    <a:stretch>
                      <a:fillRect/>
                    </a:stretch>
                  </pic:blipFill>
                  <pic:spPr>
                    <a:xfrm>
                      <a:off x="0" y="0"/>
                      <a:ext cx="6151880" cy="4753610"/>
                    </a:xfrm>
                    <a:prstGeom prst="rect">
                      <a:avLst/>
                    </a:prstGeom>
                  </pic:spPr>
                </pic:pic>
              </a:graphicData>
            </a:graphic>
          </wp:inline>
        </w:drawing>
      </w:r>
    </w:p>
    <w:p w:rsidR="002E4597" w:rsidRDefault="002E4597">
      <w:pPr>
        <w:spacing w:before="0" w:after="0" w:line="240" w:lineRule="auto"/>
        <w:ind w:firstLine="0"/>
        <w:jc w:val="left"/>
        <w:rPr>
          <w:b/>
        </w:rPr>
      </w:pPr>
    </w:p>
    <w:p w:rsidR="000442BE" w:rsidRPr="0033585F" w:rsidRDefault="0033585F" w:rsidP="008011C2">
      <w:pPr>
        <w:outlineLvl w:val="0"/>
        <w:rPr>
          <w:b/>
        </w:rPr>
      </w:pPr>
      <w:r w:rsidRPr="0033585F">
        <w:rPr>
          <w:b/>
        </w:rPr>
        <w:t>USO INDUSTRIAL</w:t>
      </w:r>
    </w:p>
    <w:p w:rsidR="006E600B" w:rsidRDefault="006E600B" w:rsidP="006E600B">
      <w:r>
        <w:t>Se tienen registrados 20 títulos de concesión, los cuales amparan un volumen de concesionado de 10</w:t>
      </w:r>
      <w:proofErr w:type="gramStart"/>
      <w:r>
        <w:t>,851,423.0</w:t>
      </w:r>
      <w:proofErr w:type="gramEnd"/>
      <w:r>
        <w:t xml:space="preserve"> m</w:t>
      </w:r>
      <w:r w:rsidRPr="0010000A">
        <w:rPr>
          <w:vertAlign w:val="superscript"/>
        </w:rPr>
        <w:t>3</w:t>
      </w:r>
      <w:r>
        <w:t>/año.</w:t>
      </w:r>
    </w:p>
    <w:p w:rsidR="006E600B" w:rsidRDefault="006E600B" w:rsidP="006E600B">
      <w:pPr>
        <w:pStyle w:val="Tabla1cap6"/>
      </w:pPr>
      <w:r>
        <w:t>Uso industrial. REPDA</w:t>
      </w:r>
    </w:p>
    <w:tbl>
      <w:tblPr>
        <w:tblStyle w:val="Tablabsica1"/>
        <w:tblW w:w="0" w:type="auto"/>
        <w:tblInd w:w="1384" w:type="dxa"/>
        <w:tblLook w:val="04A0"/>
      </w:tblPr>
      <w:tblGrid>
        <w:gridCol w:w="1892"/>
        <w:gridCol w:w="2502"/>
        <w:gridCol w:w="1929"/>
      </w:tblGrid>
      <w:tr w:rsidR="006E600B" w:rsidRPr="007449E3" w:rsidTr="006E600B">
        <w:trPr>
          <w:cnfStyle w:val="100000000000"/>
        </w:trPr>
        <w:tc>
          <w:tcPr>
            <w:tcW w:w="1892" w:type="dxa"/>
          </w:tcPr>
          <w:p w:rsidR="006E600B" w:rsidRPr="007449E3" w:rsidRDefault="006E600B" w:rsidP="009A4AA3">
            <w:pPr>
              <w:spacing w:before="0" w:after="0"/>
              <w:ind w:firstLine="0"/>
            </w:pPr>
            <w:r>
              <w:t>A</w:t>
            </w:r>
            <w:r w:rsidRPr="007449E3">
              <w:t>cuífero</w:t>
            </w:r>
          </w:p>
        </w:tc>
        <w:tc>
          <w:tcPr>
            <w:tcW w:w="2502" w:type="dxa"/>
          </w:tcPr>
          <w:p w:rsidR="006E600B" w:rsidRPr="007449E3" w:rsidRDefault="006E600B" w:rsidP="009A4AA3">
            <w:pPr>
              <w:spacing w:before="0" w:after="0"/>
              <w:ind w:firstLine="0"/>
              <w:jc w:val="center"/>
            </w:pPr>
            <w:r>
              <w:t>Vo</w:t>
            </w:r>
            <w:r w:rsidRPr="007449E3">
              <w:t>lumen</w:t>
            </w:r>
          </w:p>
        </w:tc>
        <w:tc>
          <w:tcPr>
            <w:tcW w:w="1929" w:type="dxa"/>
          </w:tcPr>
          <w:p w:rsidR="006E600B" w:rsidRPr="007449E3" w:rsidRDefault="006E600B" w:rsidP="009A4AA3">
            <w:pPr>
              <w:spacing w:before="0" w:after="0"/>
              <w:ind w:firstLine="0"/>
              <w:jc w:val="center"/>
            </w:pPr>
            <w:r>
              <w:t>A</w:t>
            </w:r>
            <w:r w:rsidRPr="007449E3">
              <w:t>provechamiento</w:t>
            </w:r>
          </w:p>
        </w:tc>
      </w:tr>
      <w:tr w:rsidR="006E600B" w:rsidRPr="007449E3" w:rsidTr="006E600B">
        <w:tc>
          <w:tcPr>
            <w:tcW w:w="1892" w:type="dxa"/>
          </w:tcPr>
          <w:p w:rsidR="006E600B" w:rsidRPr="007449E3" w:rsidRDefault="006E600B" w:rsidP="009A4AA3">
            <w:pPr>
              <w:spacing w:before="0" w:after="0"/>
              <w:ind w:firstLine="0"/>
            </w:pPr>
            <w:r>
              <w:t>H</w:t>
            </w:r>
            <w:r w:rsidRPr="007449E3">
              <w:t>uamantla</w:t>
            </w:r>
          </w:p>
        </w:tc>
        <w:tc>
          <w:tcPr>
            <w:tcW w:w="2502" w:type="dxa"/>
          </w:tcPr>
          <w:p w:rsidR="006E600B" w:rsidRPr="007449E3" w:rsidRDefault="006E600B" w:rsidP="009A4AA3">
            <w:pPr>
              <w:spacing w:before="0" w:after="0"/>
              <w:ind w:firstLine="0"/>
              <w:jc w:val="center"/>
            </w:pPr>
            <w:r w:rsidRPr="007449E3">
              <w:t>1,755,798.0</w:t>
            </w:r>
          </w:p>
        </w:tc>
        <w:tc>
          <w:tcPr>
            <w:tcW w:w="1929" w:type="dxa"/>
          </w:tcPr>
          <w:p w:rsidR="006E600B" w:rsidRPr="007449E3" w:rsidRDefault="006E600B" w:rsidP="009A4AA3">
            <w:pPr>
              <w:spacing w:before="0" w:after="0"/>
              <w:ind w:firstLine="0"/>
              <w:jc w:val="center"/>
            </w:pPr>
            <w:r w:rsidRPr="007449E3">
              <w:t>5</w:t>
            </w:r>
          </w:p>
        </w:tc>
      </w:tr>
      <w:tr w:rsidR="006E600B" w:rsidRPr="007449E3" w:rsidTr="006E600B">
        <w:tc>
          <w:tcPr>
            <w:tcW w:w="1892" w:type="dxa"/>
          </w:tcPr>
          <w:p w:rsidR="006E600B" w:rsidRPr="007449E3" w:rsidRDefault="006E600B" w:rsidP="009A4AA3">
            <w:pPr>
              <w:spacing w:before="0" w:after="0"/>
              <w:ind w:firstLine="0"/>
            </w:pPr>
            <w:r>
              <w:t>Libres - O</w:t>
            </w:r>
            <w:r w:rsidRPr="007449E3">
              <w:t>riental</w:t>
            </w:r>
          </w:p>
        </w:tc>
        <w:tc>
          <w:tcPr>
            <w:tcW w:w="2502" w:type="dxa"/>
          </w:tcPr>
          <w:p w:rsidR="006E600B" w:rsidRPr="007449E3" w:rsidRDefault="006E600B" w:rsidP="009A4AA3">
            <w:pPr>
              <w:spacing w:before="0" w:after="0"/>
              <w:ind w:firstLine="0"/>
              <w:jc w:val="center"/>
            </w:pPr>
            <w:r w:rsidRPr="007449E3">
              <w:t>8,614,973.0</w:t>
            </w:r>
          </w:p>
        </w:tc>
        <w:tc>
          <w:tcPr>
            <w:tcW w:w="1929" w:type="dxa"/>
          </w:tcPr>
          <w:p w:rsidR="006E600B" w:rsidRPr="007449E3" w:rsidRDefault="006E600B" w:rsidP="009A4AA3">
            <w:pPr>
              <w:spacing w:before="0" w:after="0"/>
              <w:ind w:firstLine="0"/>
              <w:jc w:val="center"/>
            </w:pPr>
            <w:r w:rsidRPr="007449E3">
              <w:t>37</w:t>
            </w:r>
          </w:p>
        </w:tc>
      </w:tr>
      <w:tr w:rsidR="006E600B" w:rsidRPr="007449E3" w:rsidTr="006E600B">
        <w:tc>
          <w:tcPr>
            <w:tcW w:w="1892" w:type="dxa"/>
          </w:tcPr>
          <w:p w:rsidR="006E600B" w:rsidRPr="007449E3" w:rsidRDefault="006E600B" w:rsidP="009A4AA3">
            <w:pPr>
              <w:spacing w:before="0" w:after="0"/>
              <w:ind w:firstLine="0"/>
            </w:pPr>
            <w:r>
              <w:t>P</w:t>
            </w:r>
            <w:r w:rsidRPr="007449E3">
              <w:t>erote</w:t>
            </w:r>
          </w:p>
        </w:tc>
        <w:tc>
          <w:tcPr>
            <w:tcW w:w="2502" w:type="dxa"/>
          </w:tcPr>
          <w:p w:rsidR="006E600B" w:rsidRPr="007449E3" w:rsidRDefault="006E600B" w:rsidP="009A4AA3">
            <w:pPr>
              <w:spacing w:before="0" w:after="0"/>
              <w:ind w:firstLine="0"/>
              <w:jc w:val="center"/>
            </w:pPr>
            <w:r w:rsidRPr="007449E3">
              <w:t>480,652.0</w:t>
            </w:r>
          </w:p>
        </w:tc>
        <w:tc>
          <w:tcPr>
            <w:tcW w:w="1929" w:type="dxa"/>
          </w:tcPr>
          <w:p w:rsidR="006E600B" w:rsidRPr="007449E3" w:rsidRDefault="006E600B" w:rsidP="009A4AA3">
            <w:pPr>
              <w:spacing w:before="0" w:after="0"/>
              <w:ind w:firstLine="0"/>
              <w:jc w:val="center"/>
            </w:pPr>
            <w:r w:rsidRPr="007449E3">
              <w:t>4</w:t>
            </w:r>
          </w:p>
        </w:tc>
      </w:tr>
      <w:tr w:rsidR="006E600B" w:rsidRPr="007449E3" w:rsidTr="006E600B">
        <w:tc>
          <w:tcPr>
            <w:tcW w:w="1892" w:type="dxa"/>
          </w:tcPr>
          <w:p w:rsidR="006E600B" w:rsidRPr="007449E3" w:rsidRDefault="006E600B" w:rsidP="009A4AA3">
            <w:pPr>
              <w:spacing w:before="0" w:after="0"/>
              <w:ind w:firstLine="0"/>
            </w:pPr>
            <w:r>
              <w:t>T</w:t>
            </w:r>
            <w:r w:rsidRPr="007449E3">
              <w:t>otal</w:t>
            </w:r>
          </w:p>
        </w:tc>
        <w:tc>
          <w:tcPr>
            <w:tcW w:w="2502" w:type="dxa"/>
          </w:tcPr>
          <w:p w:rsidR="006E600B" w:rsidRPr="007449E3" w:rsidRDefault="006E600B" w:rsidP="009A4AA3">
            <w:pPr>
              <w:spacing w:before="0" w:after="0"/>
              <w:ind w:firstLine="0"/>
              <w:jc w:val="center"/>
            </w:pPr>
            <w:r w:rsidRPr="007449E3">
              <w:t>10,851,423.0</w:t>
            </w:r>
          </w:p>
        </w:tc>
        <w:tc>
          <w:tcPr>
            <w:tcW w:w="1929" w:type="dxa"/>
          </w:tcPr>
          <w:p w:rsidR="006E600B" w:rsidRPr="007449E3" w:rsidRDefault="006E600B" w:rsidP="009A4AA3">
            <w:pPr>
              <w:spacing w:before="0" w:after="0"/>
              <w:ind w:firstLine="0"/>
              <w:jc w:val="center"/>
            </w:pPr>
            <w:r w:rsidRPr="007449E3">
              <w:t>46</w:t>
            </w:r>
          </w:p>
        </w:tc>
      </w:tr>
    </w:tbl>
    <w:p w:rsidR="006E600B" w:rsidRDefault="006E600B" w:rsidP="006E600B">
      <w:pPr>
        <w:pStyle w:val="Piedepgina"/>
        <w:jc w:val="center"/>
      </w:pPr>
      <w:r>
        <w:t>Fuente: Censo INEGI 2005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14"/>
        <w:gridCol w:w="4914"/>
      </w:tblGrid>
      <w:tr w:rsidR="006E600B" w:rsidTr="009A4AA3">
        <w:tc>
          <w:tcPr>
            <w:tcW w:w="4914" w:type="dxa"/>
          </w:tcPr>
          <w:p w:rsidR="006E600B" w:rsidRDefault="006E600B" w:rsidP="009A4AA3"/>
          <w:p w:rsidR="006E600B" w:rsidRDefault="006E600B" w:rsidP="009A4AA3">
            <w:r>
              <w:t>La mayor extracción esta en el acuífero Libres-Oriental, en el cual se tiene concesionado el 79.4% del volumen, le siguen en importancia el acuífero de Huamantla y Perote con el 16.2% y 4.4% respectivamente.</w:t>
            </w:r>
          </w:p>
        </w:tc>
        <w:tc>
          <w:tcPr>
            <w:tcW w:w="4914" w:type="dxa"/>
          </w:tcPr>
          <w:p w:rsidR="006E600B" w:rsidRDefault="006E600B" w:rsidP="009A4AA3">
            <w:pPr>
              <w:ind w:right="-453" w:hanging="740"/>
              <w:jc w:val="right"/>
            </w:pPr>
            <w:r>
              <w:rPr>
                <w:noProof/>
                <w:lang w:eastAsia="es-MX"/>
              </w:rPr>
              <w:drawing>
                <wp:inline distT="0" distB="0" distL="0" distR="0">
                  <wp:extent cx="3598223" cy="1399970"/>
                  <wp:effectExtent l="0" t="0" r="0" b="0"/>
                  <wp:docPr id="9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srcRect/>
                          <a:stretch>
                            <a:fillRect/>
                          </a:stretch>
                        </pic:blipFill>
                        <pic:spPr bwMode="auto">
                          <a:xfrm>
                            <a:off x="0" y="0"/>
                            <a:ext cx="3598323" cy="1400009"/>
                          </a:xfrm>
                          <a:prstGeom prst="rect">
                            <a:avLst/>
                          </a:prstGeom>
                          <a:noFill/>
                          <a:ln w="9525">
                            <a:noFill/>
                            <a:miter lim="800000"/>
                            <a:headEnd/>
                            <a:tailEnd/>
                          </a:ln>
                        </pic:spPr>
                      </pic:pic>
                    </a:graphicData>
                  </a:graphic>
                </wp:inline>
              </w:drawing>
            </w:r>
          </w:p>
        </w:tc>
      </w:tr>
    </w:tbl>
    <w:p w:rsidR="0033585F" w:rsidRDefault="0033585F" w:rsidP="003F3396">
      <w:r>
        <w:t>En torno al aprovechamiento para fines industriales, es conveniente anticipar las cuestiones legales que en caso de que la disponibilidad oficial se agote, pudieran restringir el aprovechamiento para fines industriales.  Esto es una necesidad, ya que no conviene restringir el desarrollo del sector terciario, que implica una generación de fuentes de empleo, así como una derrama económica de mayor peso que la de los sectores primario y secundario de la economía.</w:t>
      </w:r>
    </w:p>
    <w:p w:rsidR="0033585F" w:rsidRDefault="0033585F" w:rsidP="003F3396">
      <w:r>
        <w:t>De cualquier manera, es conveniente que exista una planeación del manejo territorial, que los parques industriales en el futuro se propongan en zonas de baja vulnerabilidad de los acuíferos a la contaminación, además, el control de las descargas industriales debe ser un asunto de máxima importancia.  Igualmente es necesario el manejo de los residuos e impedir que cauces o acuíferos constituyan medios de dispersión o disolución de sus contaminantes.</w:t>
      </w:r>
    </w:p>
    <w:p w:rsidR="0033585F" w:rsidRDefault="0033585F" w:rsidP="003F3396">
      <w:r>
        <w:t>En cualquier caso, el volumen titulado para el uso industrial en la actualidad, es tan sólo del 2% del volumen total, su crecimiento no representa una amenaza para el volumen o la calidad del agua de los acuíferos.</w:t>
      </w:r>
    </w:p>
    <w:p w:rsidR="0033585F" w:rsidRDefault="0033585F" w:rsidP="003F3396">
      <w:r>
        <w:t>En torno al plan de manejo, una particularidad de los aprovechamientos de tipo industrial, es que en casi un 60% de los casos, reportan profundidades de sus captaciones menores a 16 metros (profundidad de construcción), por consiguiente, son sumamente vulnerables a los abatimientos y como un efecto de la sobreexplotación podrían requerir una reposición o profundización.</w:t>
      </w:r>
    </w:p>
    <w:p w:rsidR="0033585F" w:rsidRPr="0033585F" w:rsidRDefault="0033585F" w:rsidP="008011C2">
      <w:pPr>
        <w:outlineLvl w:val="0"/>
        <w:rPr>
          <w:b/>
        </w:rPr>
      </w:pPr>
      <w:r w:rsidRPr="0033585F">
        <w:rPr>
          <w:b/>
        </w:rPr>
        <w:t>OTROS USOS</w:t>
      </w:r>
    </w:p>
    <w:p w:rsidR="0033585F" w:rsidRDefault="0033585F" w:rsidP="0033585F">
      <w:r>
        <w:t>Entre los usos restantes, el uso pecuario y la acuacultura representan menos del 1% en la actualidad; sin embargo, es igualmente necesario cuidar de la calidad del agua con la cual se alimentan los animales, principalmente aquellos implicados en la producción de alimentos.</w:t>
      </w:r>
    </w:p>
    <w:p w:rsidR="0033585F" w:rsidRDefault="0033585F" w:rsidP="0033585F">
      <w:r>
        <w:t>Las descargas del uso pecuario, así como las de la acuacultura, deben cumplir también necesariamente con la protección del acuífero y evitar su filtración en zonas susceptibles de contaminarse.</w:t>
      </w:r>
    </w:p>
    <w:p w:rsidR="0033585F" w:rsidRDefault="0033585F" w:rsidP="0033585F">
      <w:r>
        <w:t>Todos los aprovechamientos para fines de acuacultura tienen profundidades inferiores a 16 m en su construcción.  De este modo, son claramente vulnerables a tasas de abatimiento similares a las observadas en los últimos años.</w:t>
      </w:r>
    </w:p>
    <w:p w:rsidR="00565FAF" w:rsidRDefault="00565FAF" w:rsidP="008011C2">
      <w:pPr>
        <w:pStyle w:val="Ttulo2"/>
      </w:pPr>
      <w:bookmarkStart w:id="181" w:name="_Toc283886478"/>
      <w:r>
        <w:lastRenderedPageBreak/>
        <w:t>Descripción de escenarios</w:t>
      </w:r>
      <w:bookmarkEnd w:id="181"/>
    </w:p>
    <w:p w:rsidR="008450B6" w:rsidRPr="00E104B7" w:rsidRDefault="00E104B7" w:rsidP="000574FF">
      <w:pPr>
        <w:rPr>
          <w:rStyle w:val="Textoennegrita"/>
          <w:b w:val="0"/>
        </w:rPr>
      </w:pPr>
      <w:r w:rsidRPr="00E104B7">
        <w:rPr>
          <w:rStyle w:val="Textoennegrita"/>
          <w:b w:val="0"/>
        </w:rPr>
        <w:t>Parte del proceso de planeación consistió en el análisis del comportamiento del acuífero por medio de un modelo matemático de simulación hidrodinámico que, una vez calibrado, se utilizó para evaluar el efecto futuro de distintas políticas de operación del acuífero, en principio se denominaron políticas paramétricas, ya que estas consideran los principales márgenes de funcionamiento del acu</w:t>
      </w:r>
      <w:r>
        <w:rPr>
          <w:rStyle w:val="Textoennegrita"/>
          <w:b w:val="0"/>
        </w:rPr>
        <w:t>ífero, que incluyen condiciones de explotación nula, una condición de equilibrio, otra de sobreexplotación constante, una de máxima eficiencia y por último el efecto de aplicar una extracción equivalente al volumen titulado en el REPDA.</w:t>
      </w:r>
    </w:p>
    <w:p w:rsidR="008450B6" w:rsidRPr="00E104B7" w:rsidRDefault="00E104B7" w:rsidP="008011C2">
      <w:pPr>
        <w:pStyle w:val="Grafica1cap6"/>
        <w:outlineLvl w:val="0"/>
        <w:rPr>
          <w:rStyle w:val="Textoennegrita"/>
          <w:b w:val="0"/>
        </w:rPr>
      </w:pPr>
      <w:r w:rsidRPr="00E104B7">
        <w:rPr>
          <w:rStyle w:val="Textoennegrita"/>
          <w:b w:val="0"/>
        </w:rPr>
        <w:t>Comparativo de proyección de extracción de agua subterránea para los escenarios paramétricos</w:t>
      </w:r>
    </w:p>
    <w:p w:rsidR="008450B6" w:rsidRDefault="008011C2" w:rsidP="008450B6">
      <w:pPr>
        <w:ind w:firstLine="0"/>
        <w:jc w:val="center"/>
      </w:pPr>
      <w:r>
        <w:rPr>
          <w:noProof/>
          <w:lang w:eastAsia="es-MX"/>
        </w:rPr>
        <w:drawing>
          <wp:inline distT="0" distB="0" distL="0" distR="0">
            <wp:extent cx="2937905" cy="2976360"/>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srcRect/>
                    <a:stretch>
                      <a:fillRect/>
                    </a:stretch>
                  </pic:blipFill>
                  <pic:spPr bwMode="auto">
                    <a:xfrm>
                      <a:off x="0" y="0"/>
                      <a:ext cx="2944394" cy="2982934"/>
                    </a:xfrm>
                    <a:prstGeom prst="rect">
                      <a:avLst/>
                    </a:prstGeom>
                    <a:solidFill>
                      <a:srgbClr val="7F7F7F"/>
                    </a:solidFill>
                    <a:ln w="9525">
                      <a:noFill/>
                      <a:miter lim="800000"/>
                      <a:headEnd/>
                      <a:tailEnd/>
                    </a:ln>
                  </pic:spPr>
                </pic:pic>
              </a:graphicData>
            </a:graphic>
          </wp:inline>
        </w:drawing>
      </w:r>
    </w:p>
    <w:p w:rsidR="00E104B7" w:rsidRPr="008450B6" w:rsidRDefault="00E104B7" w:rsidP="00E104B7">
      <w:pPr>
        <w:ind w:firstLine="0"/>
        <w:rPr>
          <w:rStyle w:val="Textoennegrita"/>
          <w:b w:val="0"/>
        </w:rPr>
      </w:pPr>
      <w:r>
        <w:t>A continuación se presenta una breve descripción de estos escenarios, así como el resultado de la evaluación hidrológica y económica de los mismos.</w:t>
      </w:r>
    </w:p>
    <w:p w:rsidR="00565FAF" w:rsidRPr="00555636" w:rsidRDefault="00EE1F5F" w:rsidP="008011C2">
      <w:pPr>
        <w:outlineLvl w:val="0"/>
        <w:rPr>
          <w:rStyle w:val="Textoennegrita"/>
        </w:rPr>
      </w:pPr>
      <w:r w:rsidRPr="00555636">
        <w:rPr>
          <w:rStyle w:val="Textoennegrita"/>
        </w:rPr>
        <w:t>Escenario inercial</w:t>
      </w:r>
    </w:p>
    <w:p w:rsidR="00EE1F5F" w:rsidRDefault="00EE1F5F" w:rsidP="00EE1F5F">
      <w:r>
        <w:t>Para el caso particular de estos acuíferos, el escenario inercial agudiza la problemática en las zonas que actualmente presentan una tasa de aprovechamiento que excede la capacidad de recarga del acuífero.  Las zonas que conservan su equilibrio, se verán parcialmente afectadas por las áreas de sobreexplotación local.</w:t>
      </w:r>
    </w:p>
    <w:p w:rsidR="00EE1F5F" w:rsidRDefault="00EE1F5F" w:rsidP="00EE1F5F">
      <w:r>
        <w:t>La elevación del nivel estático en las zonas lagunares puede verse importantemente reducido; éstos cuerpos de agua corren el riesgo de desaparecer si no existe un programa de manejo de cuencas efectivo, que evite la desertificación de las cuencas y la intercepción de cantidades excesivas de agua mediante aprovechamientos en las laderas bajas de montaña.</w:t>
      </w:r>
    </w:p>
    <w:p w:rsidR="00EE1F5F" w:rsidRDefault="00EE1F5F" w:rsidP="00EE1F5F">
      <w:r>
        <w:lastRenderedPageBreak/>
        <w:t>La pérdida de conexión del medio saturado entre las lagunas y el nivel estático, acelerará el secado de estos cuerpos de agua, así como la migración de agua de mala calidad hacia el acuífero.</w:t>
      </w:r>
    </w:p>
    <w:p w:rsidR="00EE1F5F" w:rsidRDefault="00EE1F5F" w:rsidP="00EE1F5F">
      <w:r>
        <w:t>Los conos de abatimiento actualmente existentes, serán zonas donde la calidad del agua irá a la baja debido a la creciente concentración de sólidos totales disueltos y otros contaminantes de la actividad humana tanto agrícola como en localidades urbanas.</w:t>
      </w:r>
    </w:p>
    <w:p w:rsidR="00EE1F5F" w:rsidRDefault="00EE1F5F" w:rsidP="00EE1F5F">
      <w:r>
        <w:t xml:space="preserve">En caso de que el acuífero, en este escenario fuese tocado por los proyectos de trasvase de agua hacia las Ciudades de Puebla o México, éstos acuíferos se verían seriamente modificados en sus condiciones de flujo hidrodinámico y el frágil equilibrio que constituye la relación entre el nivel freático somero, las lagunas y la superficie del terreno y su vegetación </w:t>
      </w:r>
      <w:proofErr w:type="spellStart"/>
      <w:r>
        <w:t>freatófita</w:t>
      </w:r>
      <w:proofErr w:type="spellEnd"/>
      <w:r>
        <w:t>, se verían seriamente impactados.  Esta condición no se considera viable ya que implicaría múltiples acciones de gestión que se consideran inaceptables en la actualidad, sin embargo, para fines de la representación de las condiciones de desequilibrio que amenazan al acuífero bajo una situación tendencial, dentro del modelo matemático se analizó cuál sería el impacto probable de este tipo de proyectos.</w:t>
      </w:r>
    </w:p>
    <w:p w:rsidR="00EE1F5F" w:rsidRPr="00555636" w:rsidRDefault="00EE1F5F" w:rsidP="008011C2">
      <w:pPr>
        <w:outlineLvl w:val="0"/>
        <w:rPr>
          <w:rStyle w:val="Textoennegrita"/>
        </w:rPr>
      </w:pPr>
      <w:r w:rsidRPr="00555636">
        <w:rPr>
          <w:rStyle w:val="Textoennegrita"/>
        </w:rPr>
        <w:t>Escenario REPDA</w:t>
      </w:r>
    </w:p>
    <w:p w:rsidR="00EE1F5F" w:rsidRDefault="00EE1F5F" w:rsidP="00EE1F5F">
      <w:r w:rsidRPr="009816A5">
        <w:t xml:space="preserve">El escenario REPDA es realmente un ejercicio de representación del comportamiento del acuífero, en condiciones por ahora irreales, ya que el margen de error del REPDA es sumamente elevado principalmente en lo relativo al acuífero Libres – Oriental.  De acuerdo con el REPDA, el volumen total concesionado supera la recarga natural, mientras que según estudios técnicos, existe un importante margen de disponibilidad.  Aún cuando este ejercicio teórico es aparentemente irreal, refleja una realidad: la condición en que se encontraría el acuífero si los titulares de derechos de agua hicieran uso pleno de sus concesiones, situación que refleja el impacto del manejo administrativo de las concesiones y propiamente el efecto de la </w:t>
      </w:r>
      <w:proofErr w:type="spellStart"/>
      <w:r w:rsidRPr="009816A5">
        <w:t>sobreconcesión</w:t>
      </w:r>
      <w:proofErr w:type="spellEnd"/>
      <w:r w:rsidRPr="009816A5">
        <w:t xml:space="preserve"> de volúmenes.</w:t>
      </w:r>
    </w:p>
    <w:p w:rsidR="003F3396" w:rsidRDefault="003F3396" w:rsidP="00EE1F5F"/>
    <w:p w:rsidR="00EE1F5F" w:rsidRPr="00555636" w:rsidRDefault="00EE1F5F" w:rsidP="008011C2">
      <w:pPr>
        <w:outlineLvl w:val="0"/>
        <w:rPr>
          <w:rStyle w:val="Textoennegrita"/>
        </w:rPr>
      </w:pPr>
      <w:r w:rsidRPr="00555636">
        <w:rPr>
          <w:rStyle w:val="Textoennegrita"/>
        </w:rPr>
        <w:t>Escenario máxima tecnificación</w:t>
      </w:r>
    </w:p>
    <w:p w:rsidR="00EE1F5F" w:rsidRDefault="00EE1F5F" w:rsidP="00EE1F5F">
      <w:r>
        <w:t>El escenario de máxima tecnificación para este acuífero, se dirige principalmente a una mejora en los sistemas de riego viables para los cultivos que actualmente se producen, mientras que para el uso público urbano se asume un patrón de creciente eficiencia para la reducción de fugas y para el uso moderado del agua, acorde con una mayor cultura del agua.</w:t>
      </w:r>
    </w:p>
    <w:p w:rsidR="00EE1F5F" w:rsidRDefault="00EE1F5F" w:rsidP="00EE1F5F">
      <w:r>
        <w:t xml:space="preserve">Dado que el principal cultivo que se produce en la zona es el maíz, y éste carece de una rentabilidad que le permita pagar sistemas de riego de alta eficiencia, se consideran otras opciones de tecnificación, nivelación de tierras, capacitación y otros criterios de optimización para estos usuarios.  Estas acciones en conjunto permitirán un aumento en la eficiencia, que se reflejará en la reducción de extracciones del acuífero.  Es necesario enfatizar que el criterio de máxima tecnificación no pretende continuar con un volumen de extracción de agua constante en el futuro, </w:t>
      </w:r>
      <w:r>
        <w:lastRenderedPageBreak/>
        <w:t>sino utilizar la tecnificación como un instrumento para reducir la demanda de agua subterránea sin reducir las superficies actualmente dominadas por los sistemas de riego.</w:t>
      </w:r>
    </w:p>
    <w:p w:rsidR="00EE1F5F" w:rsidRPr="00555636" w:rsidRDefault="00EE1F5F" w:rsidP="008011C2">
      <w:pPr>
        <w:outlineLvl w:val="0"/>
        <w:rPr>
          <w:rStyle w:val="Textoennegrita"/>
        </w:rPr>
      </w:pPr>
      <w:r w:rsidRPr="00555636">
        <w:rPr>
          <w:rStyle w:val="Textoennegrita"/>
        </w:rPr>
        <w:t>Escenario Condiciones de equilibrio</w:t>
      </w:r>
    </w:p>
    <w:p w:rsidR="00EE1F5F" w:rsidRDefault="00EE1F5F" w:rsidP="00EE1F5F">
      <w:r>
        <w:t>Este escenario contempla la implementación de medidas necesarias para recuperar el equilibrio en las zonas actualmente deficitarias.  Para ello, se parte del supuesto de que en aquellos casos que no existe una sobreexplotación generalizada, es posible redistribuir las extracciones para alcanzar el equilibrio.</w:t>
      </w:r>
    </w:p>
    <w:p w:rsidR="00EE1F5F" w:rsidRDefault="00EE1F5F" w:rsidP="00EE1F5F">
      <w:r>
        <w:t>El equilibrio tiene como efecto el aprovechamiento total de un volumen equivalente al que el balance hidráulico subterráneo determinó como el que puede extraerse sin impactar negativamente en el volumen de reserva del acuífero.</w:t>
      </w:r>
    </w:p>
    <w:p w:rsidR="00EE1F5F" w:rsidRPr="009816A5" w:rsidRDefault="00EE1F5F" w:rsidP="00EE1F5F">
      <w:r>
        <w:t>Vale la pena mencionar que al considerar que en la medida que se aprovecha agua para la agricultura, existen volúmenes proporcionales que regresan al acuífero por medio de percolación en el riego agrícola, de esta misma forma, la reducción de extracción para riego, reduce también el porcentaje de recarga por concepto de percolación del riego agrícola.  De este modo, el balance en equilibrio para este caso, considera patrones de eficiencia similares a los actuales y una reducción de extracción tal que el balance neto del acuífero alcance el equilibrio, aunque la recarga total resulte ligeramente a la actual al reducirse la recarga inducida por riego.</w:t>
      </w:r>
    </w:p>
    <w:p w:rsidR="00EE1F5F" w:rsidRPr="00555636" w:rsidRDefault="00EE1F5F" w:rsidP="008011C2">
      <w:pPr>
        <w:outlineLvl w:val="0"/>
        <w:rPr>
          <w:rStyle w:val="Textoennegrita"/>
        </w:rPr>
      </w:pPr>
      <w:r w:rsidRPr="00555636">
        <w:rPr>
          <w:rStyle w:val="Textoennegrita"/>
        </w:rPr>
        <w:t>Escenario Condiciones iniciales</w:t>
      </w:r>
    </w:p>
    <w:p w:rsidR="00EE1F5F" w:rsidRDefault="00EE1F5F" w:rsidP="00EE1F5F">
      <w:r>
        <w:t>En este escenario, se analiza cómo se comportaba el acuífero antes de que existieran aprovechamientos.  Teóricamente las configuraciones piezométricas resultantes pueden tener un parecido con las configuraciones más antiguas observadas.  Ante estas condiciones, en los años siguientes habría una recuperación inmediata en zonas que perciben recarga pero que dejarían de contar con extracción de aprovechamientos subterráneos.</w:t>
      </w:r>
    </w:p>
    <w:p w:rsidR="00EE1F5F" w:rsidRDefault="00EE1F5F" w:rsidP="00EE1F5F">
      <w:r>
        <w:t>Esta alternativa de modelación, también permite conocer el comportamiento del modelo matemático en condiciones de recuperación piezométrica y detectar posibles errores del diseño del modelo y de la conceptualización de condiciones extremas como sería esta</w:t>
      </w:r>
      <w:r w:rsidR="002C670B">
        <w:t>.</w:t>
      </w:r>
    </w:p>
    <w:p w:rsidR="001C36B4" w:rsidRDefault="001C36B4">
      <w:pPr>
        <w:spacing w:before="0" w:after="0" w:line="240" w:lineRule="auto"/>
        <w:ind w:firstLine="0"/>
        <w:jc w:val="left"/>
      </w:pPr>
      <w:r>
        <w:br w:type="page"/>
      </w:r>
    </w:p>
    <w:p w:rsidR="008450B6" w:rsidRDefault="008450B6" w:rsidP="00EE1F5F"/>
    <w:p w:rsidR="008450B6" w:rsidRDefault="008450B6" w:rsidP="008011C2">
      <w:pPr>
        <w:pStyle w:val="figura1cap6"/>
        <w:outlineLvl w:val="0"/>
      </w:pPr>
      <w:r>
        <w:t>Comparativo de la evolución piezométrica de los niveles estáticos en un período de 30 años (al 2040), para 4 de los escenarios analizados</w:t>
      </w:r>
    </w:p>
    <w:p w:rsidR="008450B6" w:rsidRDefault="008011C2" w:rsidP="00EE1F5F">
      <w:r>
        <w:rPr>
          <w:noProof/>
          <w:lang w:eastAsia="es-MX"/>
        </w:rPr>
        <w:drawing>
          <wp:inline distT="0" distB="0" distL="0" distR="0">
            <wp:extent cx="6143625" cy="4610100"/>
            <wp:effectExtent l="19050" t="0" r="952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cstate="print"/>
                    <a:srcRect/>
                    <a:stretch>
                      <a:fillRect/>
                    </a:stretch>
                  </pic:blipFill>
                  <pic:spPr bwMode="auto">
                    <a:xfrm>
                      <a:off x="0" y="0"/>
                      <a:ext cx="6143625" cy="4610100"/>
                    </a:xfrm>
                    <a:prstGeom prst="rect">
                      <a:avLst/>
                    </a:prstGeom>
                    <a:noFill/>
                    <a:ln w="9525">
                      <a:noFill/>
                      <a:miter lim="800000"/>
                      <a:headEnd/>
                      <a:tailEnd/>
                    </a:ln>
                  </pic:spPr>
                </pic:pic>
              </a:graphicData>
            </a:graphic>
          </wp:inline>
        </w:drawing>
      </w:r>
    </w:p>
    <w:p w:rsidR="008450B6" w:rsidRDefault="008450B6" w:rsidP="008450B6">
      <w:pPr>
        <w:ind w:firstLine="0"/>
      </w:pPr>
      <w:r>
        <w:t>En ningún escenario se elimina la evapotranspiración en las zonas lagunares aunque se reduce con la sobreexplotación</w:t>
      </w:r>
    </w:p>
    <w:p w:rsidR="008450B6" w:rsidRDefault="008450B6" w:rsidP="008450B6">
      <w:pPr>
        <w:ind w:firstLine="0"/>
      </w:pPr>
      <w:r>
        <w:t>La concentración de aprovechamientos en las zonas lagunares  afecta a las lagunas en cualquier escenario</w:t>
      </w:r>
    </w:p>
    <w:p w:rsidR="008450B6" w:rsidRDefault="008450B6" w:rsidP="008450B6">
      <w:pPr>
        <w:ind w:firstLine="0"/>
      </w:pPr>
      <w:r>
        <w:t>En el corto plazo (2011 – 2015) el objetivo debe ser:</w:t>
      </w:r>
    </w:p>
    <w:p w:rsidR="008450B6" w:rsidRDefault="008450B6" w:rsidP="00D271DE">
      <w:pPr>
        <w:numPr>
          <w:ilvl w:val="0"/>
          <w:numId w:val="99"/>
        </w:numPr>
      </w:pPr>
      <w:r>
        <w:t>Reducir los problemas de sobreexplotación local y afectaciones lagunares</w:t>
      </w:r>
    </w:p>
    <w:p w:rsidR="008450B6" w:rsidRDefault="008450B6" w:rsidP="00D271DE">
      <w:pPr>
        <w:numPr>
          <w:ilvl w:val="0"/>
          <w:numId w:val="99"/>
        </w:numPr>
      </w:pPr>
      <w:r>
        <w:t>Gestión de programas y proyectos para el incrementar la productividad del agua en la agricultura</w:t>
      </w:r>
    </w:p>
    <w:p w:rsidR="008450B6" w:rsidRDefault="008450B6" w:rsidP="00D271DE">
      <w:pPr>
        <w:numPr>
          <w:ilvl w:val="0"/>
          <w:numId w:val="99"/>
        </w:numPr>
      </w:pPr>
      <w:r>
        <w:t>Proteger la calidad del agua subterránea</w:t>
      </w:r>
    </w:p>
    <w:p w:rsidR="008450B6" w:rsidRDefault="008450B6" w:rsidP="00D271DE">
      <w:pPr>
        <w:numPr>
          <w:ilvl w:val="0"/>
          <w:numId w:val="99"/>
        </w:numPr>
      </w:pPr>
      <w:r>
        <w:lastRenderedPageBreak/>
        <w:t xml:space="preserve">Detonar proyectos de uso eficiente del agua y </w:t>
      </w:r>
      <w:proofErr w:type="spellStart"/>
      <w:r>
        <w:t>reuso</w:t>
      </w:r>
      <w:proofErr w:type="spellEnd"/>
      <w:r>
        <w:t xml:space="preserve"> con la finalidad de reducir la extracción de agua subterránea</w:t>
      </w:r>
    </w:p>
    <w:p w:rsidR="008450B6" w:rsidRDefault="008450B6" w:rsidP="00D271DE">
      <w:pPr>
        <w:numPr>
          <w:ilvl w:val="0"/>
          <w:numId w:val="99"/>
        </w:numPr>
      </w:pPr>
      <w:r>
        <w:t>Frenar la degradación de las cuencas</w:t>
      </w:r>
    </w:p>
    <w:p w:rsidR="008450B6" w:rsidRDefault="008450B6" w:rsidP="008450B6">
      <w:pPr>
        <w:ind w:firstLine="0"/>
      </w:pPr>
      <w:r>
        <w:t xml:space="preserve">En el mediano plazo (2016 - 2025), </w:t>
      </w:r>
    </w:p>
    <w:p w:rsidR="008450B6" w:rsidRDefault="008450B6" w:rsidP="00D271DE">
      <w:pPr>
        <w:numPr>
          <w:ilvl w:val="0"/>
          <w:numId w:val="100"/>
        </w:numPr>
      </w:pPr>
      <w:r>
        <w:t>Alcanzar condiciones de equilibrio geohidrológico en Huamantla y Libres – Oriental</w:t>
      </w:r>
    </w:p>
    <w:p w:rsidR="008450B6" w:rsidRDefault="008450B6" w:rsidP="00D271DE">
      <w:pPr>
        <w:numPr>
          <w:ilvl w:val="0"/>
          <w:numId w:val="100"/>
        </w:numPr>
      </w:pPr>
      <w:r>
        <w:t>Mejoramiento de cuencas y proyectos para mejorar las condiciones de recarga del acuífero</w:t>
      </w:r>
    </w:p>
    <w:p w:rsidR="008450B6" w:rsidRDefault="008450B6" w:rsidP="008450B6">
      <w:pPr>
        <w:ind w:firstLine="0"/>
      </w:pPr>
      <w:r>
        <w:t xml:space="preserve">En el largo plazo </w:t>
      </w:r>
    </w:p>
    <w:p w:rsidR="008450B6" w:rsidRDefault="008450B6" w:rsidP="00D271DE">
      <w:pPr>
        <w:numPr>
          <w:ilvl w:val="0"/>
          <w:numId w:val="101"/>
        </w:numPr>
      </w:pPr>
      <w:r>
        <w:t>Mejorar las condiciones lagunares, establecer áreas de reserva de agua potable e incrementar la frontera agrícola con la recuperación de pérdidas</w:t>
      </w:r>
    </w:p>
    <w:p w:rsidR="008450B6" w:rsidRDefault="008450B6" w:rsidP="008011C2">
      <w:pPr>
        <w:pStyle w:val="Grafica1cap6"/>
        <w:outlineLvl w:val="0"/>
      </w:pPr>
      <w:r w:rsidRPr="008450B6">
        <w:t>Comparativo de beneficios netos con respecto al escenario inercial (MDP)</w:t>
      </w:r>
    </w:p>
    <w:p w:rsidR="008450B6" w:rsidRDefault="008011C2" w:rsidP="008450B6">
      <w:pPr>
        <w:ind w:firstLine="0"/>
      </w:pPr>
      <w:r>
        <w:rPr>
          <w:noProof/>
          <w:lang w:eastAsia="es-MX"/>
        </w:rPr>
        <w:drawing>
          <wp:inline distT="0" distB="0" distL="0" distR="0">
            <wp:extent cx="6143625" cy="3590925"/>
            <wp:effectExtent l="19050" t="0" r="952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cstate="print"/>
                    <a:srcRect/>
                    <a:stretch>
                      <a:fillRect/>
                    </a:stretch>
                  </pic:blipFill>
                  <pic:spPr bwMode="auto">
                    <a:xfrm>
                      <a:off x="0" y="0"/>
                      <a:ext cx="6143625" cy="3590925"/>
                    </a:xfrm>
                    <a:prstGeom prst="rect">
                      <a:avLst/>
                    </a:prstGeom>
                    <a:solidFill>
                      <a:srgbClr val="7F7F7F"/>
                    </a:solidFill>
                    <a:ln w="9525">
                      <a:noFill/>
                      <a:miter lim="800000"/>
                      <a:headEnd/>
                      <a:tailEnd/>
                    </a:ln>
                  </pic:spPr>
                </pic:pic>
              </a:graphicData>
            </a:graphic>
          </wp:inline>
        </w:drawing>
      </w:r>
    </w:p>
    <w:p w:rsidR="008450B6" w:rsidRDefault="008450B6" w:rsidP="008450B6">
      <w:pPr>
        <w:ind w:firstLine="0"/>
      </w:pPr>
      <w:r>
        <w:t>La evaluación económica de los escenarios refleja que cualquier esfuerzo por reducir las extracciones, debe coordinarse con programas de incremento de la productividad del agua, principalmente tecnificación hidroagrícola y aumento de la densidad económica de los cultivos; sólo así se obtendrán beneficios netos positivos al conjugar la política de operación y un desarrollo socioeconómico acorde con las necesidades regionales.</w:t>
      </w:r>
    </w:p>
    <w:p w:rsidR="00565FAF" w:rsidRDefault="00565FAF" w:rsidP="008011C2">
      <w:pPr>
        <w:pStyle w:val="Ttulo1"/>
      </w:pPr>
      <w:bookmarkStart w:id="182" w:name="_Toc283886479"/>
      <w:r>
        <w:lastRenderedPageBreak/>
        <w:t>Descripción del plan</w:t>
      </w:r>
      <w:bookmarkEnd w:id="182"/>
    </w:p>
    <w:p w:rsidR="00565FAF" w:rsidRDefault="00565FAF" w:rsidP="005573B4">
      <w:pPr>
        <w:pStyle w:val="Ttulo2"/>
      </w:pPr>
      <w:r>
        <w:tab/>
      </w:r>
      <w:bookmarkStart w:id="183" w:name="_Toc283886480"/>
      <w:r w:rsidR="00007268">
        <w:t>Descripción de los objetivos estratégicos</w:t>
      </w:r>
      <w:bookmarkEnd w:id="183"/>
    </w:p>
    <w:p w:rsidR="005C5A83" w:rsidRPr="002104C0" w:rsidRDefault="00F15BF8" w:rsidP="005C5A83">
      <w:pPr>
        <w:numPr>
          <w:ilvl w:val="0"/>
          <w:numId w:val="82"/>
        </w:numPr>
        <w:rPr>
          <w:b/>
          <w:i/>
        </w:rPr>
      </w:pPr>
      <w:r w:rsidRPr="002104C0">
        <w:rPr>
          <w:b/>
          <w:i/>
        </w:rPr>
        <w:t xml:space="preserve">Objetivo Estratégico 1: </w:t>
      </w:r>
      <w:r w:rsidR="005C5A83" w:rsidRPr="002104C0">
        <w:rPr>
          <w:b/>
          <w:i/>
        </w:rPr>
        <w:t>Mejorar la productividad del agua en el sector agrícola</w:t>
      </w:r>
    </w:p>
    <w:p w:rsidR="00796644" w:rsidRDefault="00D30444" w:rsidP="00796644">
      <w:r>
        <w:t xml:space="preserve">Siendo el sector agrícola el principal consumidor del recurso hídrico, </w:t>
      </w:r>
      <w:r w:rsidR="005365F6">
        <w:t>las acciones que implanten y ejecuten de manera coordinada y continua favorecerá la oferta de agua subterránea</w:t>
      </w:r>
      <w:r w:rsidR="00720EB2">
        <w:t>,</w:t>
      </w:r>
      <w:r w:rsidR="005365F6">
        <w:t xml:space="preserve"> la cual podrá ser dirigida a esquemas de fortalecimiento y crecimiento del propio sector agrícola y de aquellos vinculados al mismo. </w:t>
      </w:r>
      <w:r w:rsidR="00720EB2">
        <w:t xml:space="preserve">Lo anterior requiere de aprovechamiento de áreas de oportunidad en esquemas como: la diversificación de actividades productivas y el incremento de la productividad agrícola. </w:t>
      </w:r>
    </w:p>
    <w:p w:rsidR="005C5A83" w:rsidRPr="002104C0" w:rsidRDefault="003414D4" w:rsidP="005C5A83">
      <w:pPr>
        <w:numPr>
          <w:ilvl w:val="0"/>
          <w:numId w:val="82"/>
        </w:numPr>
        <w:rPr>
          <w:b/>
          <w:i/>
        </w:rPr>
      </w:pPr>
      <w:r w:rsidRPr="002104C0">
        <w:rPr>
          <w:b/>
          <w:i/>
        </w:rPr>
        <w:t xml:space="preserve">Objetivo Estratégico 2: </w:t>
      </w:r>
      <w:r w:rsidR="003C7F1A">
        <w:rPr>
          <w:b/>
          <w:i/>
        </w:rPr>
        <w:t>Incrementar el acceso y la calidad de los servicios de agua potable, alcantarillado y saneamiento</w:t>
      </w:r>
    </w:p>
    <w:p w:rsidR="00796644" w:rsidRDefault="005365F6" w:rsidP="00796644">
      <w:r>
        <w:t xml:space="preserve">Después del sector agrícola, el sector público-urbano ejerce mayor presión sobre los recursos hídricos subterráneos. Su papel dentro del esquema de alternativas de manejo, requiere de estrategias en cuatro escenarios: agua potable, control de descargas contaminantes, incremento y mantenimiento de sistemas de alcantarillado, y saneamiento. </w:t>
      </w:r>
    </w:p>
    <w:p w:rsidR="005C5A83" w:rsidRPr="00C0632A" w:rsidRDefault="003414D4" w:rsidP="005C5A83">
      <w:pPr>
        <w:numPr>
          <w:ilvl w:val="0"/>
          <w:numId w:val="82"/>
        </w:numPr>
        <w:rPr>
          <w:b/>
          <w:i/>
        </w:rPr>
      </w:pPr>
      <w:r w:rsidRPr="00C0632A">
        <w:rPr>
          <w:b/>
          <w:i/>
        </w:rPr>
        <w:t xml:space="preserve">Objetivo Estratégico 3: </w:t>
      </w:r>
      <w:r w:rsidR="005C5A83" w:rsidRPr="00C0632A">
        <w:rPr>
          <w:b/>
          <w:i/>
        </w:rPr>
        <w:t xml:space="preserve">Promover </w:t>
      </w:r>
      <w:r w:rsidR="003C7F1A" w:rsidRPr="00C0632A">
        <w:rPr>
          <w:b/>
          <w:i/>
        </w:rPr>
        <w:t xml:space="preserve">el </w:t>
      </w:r>
      <w:r w:rsidR="00C0632A" w:rsidRPr="00C0632A">
        <w:rPr>
          <w:b/>
          <w:i/>
        </w:rPr>
        <w:t>manejo integrado del agua en cuencas y acuíferos</w:t>
      </w:r>
    </w:p>
    <w:p w:rsidR="00796644" w:rsidRDefault="00436506" w:rsidP="00796644">
      <w:r>
        <w:t xml:space="preserve">A la par de una política </w:t>
      </w:r>
      <w:r w:rsidR="00DC5178">
        <w:t>hídrica</w:t>
      </w:r>
      <w:r>
        <w:t xml:space="preserve"> que favorece la gestión integrada d</w:t>
      </w:r>
      <w:r w:rsidR="00DC5178">
        <w:t xml:space="preserve">e los recursos hídricos, el actual </w:t>
      </w:r>
      <w:r w:rsidR="00DE61C1">
        <w:t>P</w:t>
      </w:r>
      <w:r w:rsidR="00DC5178">
        <w:t xml:space="preserve">lan de </w:t>
      </w:r>
      <w:r w:rsidR="00DE61C1">
        <w:t>M</w:t>
      </w:r>
      <w:r w:rsidR="00DC5178">
        <w:t>anejo promueve la participación multisectorial y multitemporal de los diferentes actores vinculados</w:t>
      </w:r>
      <w:r w:rsidR="009D70C3">
        <w:t>,</w:t>
      </w:r>
      <w:r w:rsidR="00DC5178">
        <w:t xml:space="preserve"> a través de un esquema de transversalidad suficiente y real. Es por ello, que el presente objetivo pretende coadyuvar a la conservación y compensación del medio ambiente, que permita asegurar la continuidad de los procesos hidrológicos en la zona de estudio, asegurando con ello, la oferta de agua en cantidad y calidad suficiente en el futuro inmediato y </w:t>
      </w:r>
      <w:r w:rsidR="00DE61C1">
        <w:t xml:space="preserve">a </w:t>
      </w:r>
      <w:r w:rsidR="00DC5178">
        <w:t xml:space="preserve">largo plazo. </w:t>
      </w:r>
    </w:p>
    <w:p w:rsidR="005C5A83" w:rsidRPr="00C0632A" w:rsidRDefault="003414D4" w:rsidP="00C0632A">
      <w:pPr>
        <w:numPr>
          <w:ilvl w:val="0"/>
          <w:numId w:val="82"/>
        </w:numPr>
        <w:rPr>
          <w:b/>
          <w:i/>
        </w:rPr>
      </w:pPr>
      <w:r w:rsidRPr="002104C0">
        <w:rPr>
          <w:b/>
          <w:i/>
        </w:rPr>
        <w:t xml:space="preserve">Objetivo Estratégico 4: </w:t>
      </w:r>
      <w:r w:rsidR="00C0632A" w:rsidRPr="00C0632A">
        <w:rPr>
          <w:b/>
          <w:i/>
        </w:rPr>
        <w:t>Mejorar el desarrollo técnico, administrativo y financiero del sector hidráulico</w:t>
      </w:r>
    </w:p>
    <w:p w:rsidR="00796644" w:rsidRDefault="003845AD" w:rsidP="00796644">
      <w:r>
        <w:t>Para este caso, el fortalecimiento técnico, administrativo y financiero</w:t>
      </w:r>
      <w:r w:rsidR="00DE61C1">
        <w:t xml:space="preserve"> del sector hidráulico (principalmente Organismos Operadores o entidades administradoras del agua)</w:t>
      </w:r>
      <w:r>
        <w:t xml:space="preserve">, adquiere un matiz muy importante dado que es punto de partida para la ejecución de las estrategias de solución y aprovechamiento de oportunidades que se presentan en este Plan de Manejo. </w:t>
      </w:r>
      <w:r w:rsidR="009D70C3">
        <w:t>Se pretende pues, fortalecer las estructuras técnicas y humanas para ser capaces de enfrentar los retos en la administración y gestión del recurso hídrico de cara a una realidad más demandante.</w:t>
      </w:r>
    </w:p>
    <w:p w:rsidR="00C0632A" w:rsidRPr="00C0632A" w:rsidRDefault="003414D4" w:rsidP="00C0632A">
      <w:pPr>
        <w:numPr>
          <w:ilvl w:val="0"/>
          <w:numId w:val="82"/>
        </w:numPr>
        <w:rPr>
          <w:b/>
          <w:i/>
        </w:rPr>
      </w:pPr>
      <w:r w:rsidRPr="002104C0">
        <w:rPr>
          <w:b/>
          <w:i/>
        </w:rPr>
        <w:t xml:space="preserve">Objetivo Estratégico 5: </w:t>
      </w:r>
      <w:r w:rsidR="00C0632A" w:rsidRPr="00C0632A">
        <w:rPr>
          <w:b/>
          <w:i/>
        </w:rPr>
        <w:t>Consolidar la participación de los usuarios y la sociedad organizada en el manejo del agua y promover la cultura del buen uso</w:t>
      </w:r>
    </w:p>
    <w:p w:rsidR="00796644" w:rsidRDefault="00983D02" w:rsidP="00796644">
      <w:r>
        <w:t xml:space="preserve">Dentro de una problemática compleja, existen diversas variantes y repercusiones sociales que inciden en la calidad de vida de los habitantes, es por ello que la participación social no solo debe </w:t>
      </w:r>
      <w:r>
        <w:lastRenderedPageBreak/>
        <w:t xml:space="preserve">ser la ejecutora de las alternativas de solución, sino también, la responsable de prevenir que las actuales problemáticas incrementen </w:t>
      </w:r>
      <w:r w:rsidR="00DE61C1">
        <w:t>su</w:t>
      </w:r>
      <w:r>
        <w:t xml:space="preserve"> intensidad, y lógicamente, conducir las controversias dentro de canales de imparcialidad y el bien común.</w:t>
      </w:r>
    </w:p>
    <w:p w:rsidR="00C0632A" w:rsidRPr="00C0632A" w:rsidRDefault="003414D4" w:rsidP="00C0632A">
      <w:pPr>
        <w:numPr>
          <w:ilvl w:val="0"/>
          <w:numId w:val="82"/>
        </w:numPr>
        <w:rPr>
          <w:b/>
          <w:i/>
        </w:rPr>
      </w:pPr>
      <w:r w:rsidRPr="002104C0">
        <w:rPr>
          <w:b/>
          <w:i/>
        </w:rPr>
        <w:t xml:space="preserve">Objetivo Estratégico 6: </w:t>
      </w:r>
      <w:r w:rsidR="00C0632A" w:rsidRPr="00C0632A">
        <w:rPr>
          <w:b/>
          <w:i/>
        </w:rPr>
        <w:t>Prevenir los riesgos derivados de los fenómenos meteorológicos e hidrometeorológicos y atender sus efectos</w:t>
      </w:r>
    </w:p>
    <w:p w:rsidR="002104C0" w:rsidRDefault="00DE61C1" w:rsidP="00DE61C1">
      <w:r>
        <w:t>La región de influencia del acu</w:t>
      </w:r>
      <w:r w:rsidR="00E42266">
        <w:t>ífero Huamantla-L</w:t>
      </w:r>
      <w:r>
        <w:t xml:space="preserve">ibres </w:t>
      </w:r>
      <w:r w:rsidR="00E42266">
        <w:t>O</w:t>
      </w:r>
      <w:r>
        <w:t>riental-</w:t>
      </w:r>
      <w:r w:rsidR="00E42266">
        <w:t>P</w:t>
      </w:r>
      <w:r>
        <w:t>erote se circunscribe dentro de la zona geográfica a nivel nacional que hist</w:t>
      </w:r>
      <w:r w:rsidR="00E42266">
        <w:t>óricamente ha enfrentado eventos hidroclimatológicos extremos, principalmente la sequía. Tales circunstancias disminuyen la oferta de agua superficial e incrementan la presión en el agua subterránea, razón por lo cual se deben delinea las estrategias de prevención y mitigación a este tipo de eventos aunados a otros de carácter hidroclimatológico.</w:t>
      </w:r>
    </w:p>
    <w:p w:rsidR="00C0632A" w:rsidRPr="00E42266" w:rsidRDefault="003414D4" w:rsidP="00C0632A">
      <w:pPr>
        <w:numPr>
          <w:ilvl w:val="0"/>
          <w:numId w:val="82"/>
        </w:numPr>
        <w:rPr>
          <w:b/>
          <w:i/>
        </w:rPr>
      </w:pPr>
      <w:r w:rsidRPr="00E42266">
        <w:rPr>
          <w:b/>
          <w:i/>
        </w:rPr>
        <w:t>Objetivo Estratégico 7:</w:t>
      </w:r>
      <w:r w:rsidR="00E42266" w:rsidRPr="00E42266">
        <w:rPr>
          <w:b/>
          <w:i/>
        </w:rPr>
        <w:t>Evaluar los efectos del cambio climático e hidrológico global y local</w:t>
      </w:r>
      <w:r w:rsidRPr="00E42266">
        <w:rPr>
          <w:b/>
          <w:i/>
        </w:rPr>
        <w:t xml:space="preserve"> </w:t>
      </w:r>
    </w:p>
    <w:p w:rsidR="00C12B9F" w:rsidRDefault="00C12B9F" w:rsidP="00C0632A">
      <w:r>
        <w:t xml:space="preserve">Uno de las mayores amenazas para la continuidad del ciclo hidrológico tanto en el país como en el mundo, es el cambio de comportamiento de las variables climáticas que influyen directamente en las láminas de lluvia y las tasas tanto de evaporación como de evapotranspiración. La zona de influencia del acuífero Huamantla-Libres </w:t>
      </w:r>
      <w:r w:rsidR="00E42266">
        <w:t>O</w:t>
      </w:r>
      <w:r>
        <w:t xml:space="preserve">riental-Perote no es la excepción. </w:t>
      </w:r>
    </w:p>
    <w:p w:rsidR="00C12B9F" w:rsidRDefault="00C12B9F" w:rsidP="00796644">
      <w:r>
        <w:t xml:space="preserve">Tales amenazas implican cambios en la fenología de los cultivos, los cuales demandarán mayores volúmenes de agua, y por ende, la presión sobre el acuífero podrá ser mayor que en la actualidad. Además, las demandas de agua de uso público-urbano se incrementaran con las mismas consecuencias anteriores hacia el acuífero. </w:t>
      </w:r>
    </w:p>
    <w:p w:rsidR="00C12B9F" w:rsidRDefault="00C12B9F" w:rsidP="00796644">
      <w:r>
        <w:t>Estas son solo dos razones en los dos principales usuarios del agua subterránea que direccionan la atención hacia un problema poco estudiado a nivel local hasta el momento, sin embargo, dado el nivel de complejidad y el tipo de alcances del COTAS, no se recomienda sino promover el estudios a nivel de cuenca más que desarrollarlos propiamente.</w:t>
      </w:r>
    </w:p>
    <w:p w:rsidR="00C12B9F" w:rsidRDefault="00C12B9F" w:rsidP="00796644">
      <w:r>
        <w:t xml:space="preserve">Para este caso, la difusión de la problemática que se deriva del cambio climático hacia el interior del COTAS, así como del apoyo para la ejecución de dichos estudios, son tareas pendientes en los cuales el COTAS puede participar con información </w:t>
      </w:r>
      <w:r w:rsidR="00E42266">
        <w:t>específica</w:t>
      </w:r>
      <w:r>
        <w:t xml:space="preserve"> y coordinación necesaria. </w:t>
      </w:r>
    </w:p>
    <w:p w:rsidR="00C0632A" w:rsidRPr="00C0632A" w:rsidRDefault="003414D4" w:rsidP="00C0632A">
      <w:pPr>
        <w:numPr>
          <w:ilvl w:val="0"/>
          <w:numId w:val="82"/>
        </w:numPr>
        <w:rPr>
          <w:b/>
          <w:i/>
        </w:rPr>
      </w:pPr>
      <w:r w:rsidRPr="00C0632A">
        <w:rPr>
          <w:b/>
          <w:i/>
        </w:rPr>
        <w:t xml:space="preserve">Objetivo Estratégico 8: </w:t>
      </w:r>
      <w:r w:rsidR="00E42266" w:rsidRPr="00E42266">
        <w:rPr>
          <w:b/>
          <w:i/>
        </w:rPr>
        <w:t>Crear una cultura contributiva y de cumplimiento a la LAN en materia administrativa</w:t>
      </w:r>
    </w:p>
    <w:p w:rsidR="001B446F" w:rsidRDefault="00E42266" w:rsidP="00E42266">
      <w:r>
        <w:t xml:space="preserve">Diversas circunstancias pasadas y presentes han ocasionado que los niveles de eficiencia administrativa en la gestión del recurso hídrico tengan importantes áreas de oportunidad para el  incremento en cuanto a mejorar sus resultados. Acciones como la actualización del padrón de usuarios, conocimiento de patrones de consumo, macro y </w:t>
      </w:r>
      <w:proofErr w:type="spellStart"/>
      <w:r>
        <w:t>micromedición</w:t>
      </w:r>
      <w:proofErr w:type="spellEnd"/>
      <w:r>
        <w:t xml:space="preserve">, asistencia al contribuyente y eficiencia en la aplicación de la legislación aplicable, marcan un entorno poco favorable para la lograr una gestión y administración óptima del recurso agua en la zona. Por ello, </w:t>
      </w:r>
      <w:r>
        <w:lastRenderedPageBreak/>
        <w:t xml:space="preserve">su atención reviste de importancia dado que representa el esfuerzo toral para poner en marcha diversos mecanismos de solución como los presentados en este documento. </w:t>
      </w:r>
    </w:p>
    <w:p w:rsidR="00007268" w:rsidRDefault="00007268" w:rsidP="005573B4">
      <w:pPr>
        <w:pStyle w:val="Ttulo2"/>
      </w:pPr>
      <w:r>
        <w:tab/>
      </w:r>
      <w:bookmarkStart w:id="184" w:name="_Toc283886481"/>
      <w:r>
        <w:t>Descripción de las líneas de acción</w:t>
      </w:r>
      <w:bookmarkEnd w:id="184"/>
    </w:p>
    <w:p w:rsidR="000F3AF4" w:rsidRDefault="000F3AF4" w:rsidP="000F3AF4">
      <w:pPr>
        <w:ind w:firstLine="0"/>
      </w:pPr>
      <w:r w:rsidRPr="00F6645C">
        <w:rPr>
          <w:b/>
        </w:rPr>
        <w:t>Línea Estratégica</w:t>
      </w:r>
      <w:r>
        <w:rPr>
          <w:b/>
        </w:rPr>
        <w:t xml:space="preserve"> 1. 1</w:t>
      </w:r>
      <w:r w:rsidRPr="00F6645C">
        <w:rPr>
          <w:b/>
        </w:rPr>
        <w:t>.</w:t>
      </w:r>
      <w:r>
        <w:t xml:space="preserve">  Diversificación de las actividades productivas.  </w:t>
      </w:r>
    </w:p>
    <w:p w:rsidR="000F3AF4" w:rsidRDefault="000F3AF4" w:rsidP="000F3AF4">
      <w:pPr>
        <w:ind w:firstLine="0"/>
      </w:pPr>
      <w:r w:rsidRPr="00F6645C">
        <w:rPr>
          <w:i/>
        </w:rPr>
        <w:t>Línea de Acción</w:t>
      </w:r>
      <w:r>
        <w:rPr>
          <w:i/>
        </w:rPr>
        <w:t xml:space="preserve"> 1. 1. 1</w:t>
      </w:r>
      <w:r>
        <w:t>.  Ampliación de proyectos rentables con base en las experiencias exitosas de la cuenca.</w:t>
      </w:r>
    </w:p>
    <w:p w:rsidR="00747576" w:rsidRDefault="00747576" w:rsidP="00747576">
      <w:r>
        <w:t xml:space="preserve">Se deberá investigar las técnicas y programas de mejora en la producción agrícola generadas en centros de investigación y educación superior, dado que en ellos, existen diversas investigaciones generadas en este sector que son apropiadas a la zona de nuestro interés, y que tienen la potencialidad de ser referentes en cuanto a la mejora de la agricultura actual. </w:t>
      </w:r>
    </w:p>
    <w:p w:rsidR="00747576" w:rsidRDefault="00747576" w:rsidP="00747576">
      <w:r>
        <w:t>Así también, en la actualidad se reconocen diversas experiencias exitosas de productores locales que han incrementado su productividad a partir de la diversificación y técnicas de cultivo. Dentro de las primeras, reconociendo las características climatológicas inherentes de la cuenca de Oriental, algunos productores han empleado especies mejor adaptadas a este clima (</w:t>
      </w:r>
      <w:proofErr w:type="spellStart"/>
      <w:r>
        <w:t>v.gr.</w:t>
      </w:r>
      <w:proofErr w:type="spellEnd"/>
      <w:r>
        <w:t xml:space="preserve"> nopal) obteniendo resultados favorables, por lo tanto, esta alternativa deberá ser evaluada para ser aplicada en regiones agrícolas que así lo ameriten. </w:t>
      </w:r>
    </w:p>
    <w:p w:rsidR="00747576" w:rsidRDefault="00747576" w:rsidP="00747576">
      <w:r>
        <w:t xml:space="preserve">Por otra parte, mediante la experiencia directa que los propios agricultores han observado, se identifica que el atraso en los periodos de siembra favorece la producción de algunos cultivos, esto, a consecuencia de que el periodo de lluvias también ha sufrido un atraso respecto al comportamiento de décadas pasadas. Aunque este atraso en lluvias puede ser de pocas semanas respecto a lo normal, los resultados muestran que la producción se ve favorecida en calidad y cantidad. Así pues, tal experiencia generada a partir de la actividad directa de los agricultores, deberá ser sustentada técnicamente para efectos de promover su difusión. </w:t>
      </w:r>
    </w:p>
    <w:p w:rsidR="00747576" w:rsidRDefault="00747576" w:rsidP="00747576">
      <w:r>
        <w:t>Por otra parte, se ha identificado que para la región de Perote, existen las menores láminas de agua para riego, dado que en dicha región se ha intensificado la agricultura protegida; es decir, invernaderos. Esto ha traído consigo ahorros de agua en forma muy considerable, además de generar recursos económicos mayores a los de otras regiones. Por lo anterior, la experiencia de los productores de Perote deberá ser difundida y promovida. Un mayor detalle de esta opción se muestra en la Línea de Acción  1.2.2.</w:t>
      </w:r>
    </w:p>
    <w:p w:rsidR="000F3AF4" w:rsidRDefault="000F3AF4" w:rsidP="008011C2">
      <w:pPr>
        <w:ind w:firstLine="0"/>
        <w:outlineLvl w:val="0"/>
      </w:pPr>
      <w:r w:rsidRPr="00EF083B">
        <w:rPr>
          <w:b/>
        </w:rPr>
        <w:t>Línea Estratégica 1. 2.</w:t>
      </w:r>
      <w:r>
        <w:t xml:space="preserve">  Incremento de la productividad agrícola</w:t>
      </w:r>
    </w:p>
    <w:p w:rsidR="000F3AF4" w:rsidRDefault="000F3AF4" w:rsidP="008011C2">
      <w:pPr>
        <w:ind w:firstLine="0"/>
        <w:outlineLvl w:val="0"/>
      </w:pPr>
      <w:r w:rsidRPr="00EF083B">
        <w:rPr>
          <w:i/>
        </w:rPr>
        <w:t>Línea de acción 1.2.</w:t>
      </w:r>
      <w:r w:rsidR="00715AB8">
        <w:rPr>
          <w:i/>
        </w:rPr>
        <w:t>1</w:t>
      </w:r>
      <w:r w:rsidRPr="00EF083B">
        <w:rPr>
          <w:i/>
        </w:rPr>
        <w:t>.</w:t>
      </w:r>
      <w:r>
        <w:t xml:space="preserve">  Ampliación de superficies de riego</w:t>
      </w:r>
    </w:p>
    <w:p w:rsidR="00387767" w:rsidRDefault="00011B31" w:rsidP="00011B31">
      <w:r>
        <w:t xml:space="preserve">La </w:t>
      </w:r>
      <w:r w:rsidRPr="00332E2B">
        <w:t>superficie actualmente sembrada bajo riego es del orden de las 32,500 ha, con una consumo de agua subterránea de 284.1 hm</w:t>
      </w:r>
      <w:r w:rsidRPr="00332E2B">
        <w:rPr>
          <w:vertAlign w:val="superscript"/>
        </w:rPr>
        <w:t>3</w:t>
      </w:r>
      <w:r w:rsidRPr="00332E2B">
        <w:t xml:space="preserve"> anuales</w:t>
      </w:r>
      <w:r w:rsidR="00387767">
        <w:t xml:space="preserve">. </w:t>
      </w:r>
      <w:r w:rsidRPr="00523C18">
        <w:t xml:space="preserve">La demanda de agua por el sector agrícola representa el </w:t>
      </w:r>
      <w:r w:rsidRPr="00332E2B">
        <w:t>85%</w:t>
      </w:r>
      <w:r w:rsidRPr="00523C18">
        <w:t xml:space="preserve"> del volumen </w:t>
      </w:r>
      <w:r>
        <w:t xml:space="preserve">de agua subterránea </w:t>
      </w:r>
      <w:r w:rsidRPr="00523C18">
        <w:t>concesionad</w:t>
      </w:r>
      <w:r>
        <w:t>a</w:t>
      </w:r>
      <w:r w:rsidRPr="00523C18">
        <w:t>, siendo por mucho el sector que más agua consume en el acuífero.</w:t>
      </w:r>
      <w:r>
        <w:t xml:space="preserve"> </w:t>
      </w:r>
    </w:p>
    <w:p w:rsidR="00011B31" w:rsidRPr="00332E2B" w:rsidRDefault="00011B31" w:rsidP="00011B31">
      <w:r>
        <w:lastRenderedPageBreak/>
        <w:t>Se considera que la principal problemática del sector consiste en l</w:t>
      </w:r>
      <w:r w:rsidRPr="00523C18">
        <w:t>a b</w:t>
      </w:r>
      <w:r w:rsidRPr="00523C18">
        <w:rPr>
          <w:rFonts w:cs="Arial"/>
        </w:rPr>
        <w:t xml:space="preserve">aja eficiencia en el uso de agua para riego, superficies con infraestructura hidroagrícola no aprovechada, disminución de la disponibilidad </w:t>
      </w:r>
      <w:r w:rsidRPr="00332E2B">
        <w:rPr>
          <w:rFonts w:cs="Arial"/>
        </w:rPr>
        <w:t>superficial y competencia por el recurso, además, l</w:t>
      </w:r>
      <w:r w:rsidRPr="00332E2B">
        <w:t>as eficiencias actuales del sector son relativamente bajas, siendo del orden del 35%.</w:t>
      </w:r>
    </w:p>
    <w:p w:rsidR="00011B31" w:rsidRPr="00332E2B" w:rsidRDefault="00011B31" w:rsidP="00011B31">
      <w:r w:rsidRPr="00332E2B">
        <w:t>Se considera que es posible incrementar la eficiencia global de r</w:t>
      </w:r>
      <w:r w:rsidR="00500FB9">
        <w:t>iego actual desde un 43% al 56%</w:t>
      </w:r>
      <w:r w:rsidRPr="00332E2B">
        <w:t>. Al lograr esta meta los volúmenes demandados serán sensiblemente menores a los concesionados, en este sentido sólo en la zona de Perote se justifica una ampliación de la superficie actual de riego, que para fines del presente análisis, considera un 40%, sin rebasar el volumen concesionado actual, que se asume que deberá aumentar en el futuro. Las mayores oportunidades se presentan en la región de Perote, donde la tecnificación existente permite las menores láminas de riego, y por ende, mayores volúmenes de ahorro. En potencial incremento en superficie de riego mientras no se recupere el equilibrio de los acuíferos de Huamantla y Libres – Oriental, se encuentra únicamente en la zona de Perote Zalayeta, donde puede superar las 1,200 hectáreas</w:t>
      </w:r>
      <w:r w:rsidR="00927DB9">
        <w:t xml:space="preserve">; </w:t>
      </w:r>
      <w:r w:rsidRPr="00332E2B">
        <w:t>además, el volumen concesionado actual es similar a la demanda futura de 204.8 hm</w:t>
      </w:r>
      <w:r w:rsidRPr="00332E2B">
        <w:rPr>
          <w:vertAlign w:val="superscript"/>
        </w:rPr>
        <w:t>3</w:t>
      </w:r>
      <w:r w:rsidRPr="00332E2B">
        <w:t>.</w:t>
      </w:r>
    </w:p>
    <w:p w:rsidR="00011B31" w:rsidRPr="00011B31" w:rsidRDefault="00011B31" w:rsidP="00011B31">
      <w:pPr>
        <w:pStyle w:val="Tabla1cap12"/>
        <w:ind w:left="56" w:firstLine="10"/>
        <w:rPr>
          <w:lang w:val="es-MX"/>
        </w:rPr>
      </w:pPr>
      <w:bookmarkStart w:id="185" w:name="_Ref265750615"/>
      <w:bookmarkStart w:id="186" w:name="_Toc273962886"/>
      <w:r w:rsidRPr="00011B31">
        <w:rPr>
          <w:lang w:val="es-MX"/>
        </w:rPr>
        <w:t xml:space="preserve">Volumen de agua subterránea aprovechado en la agricultura según estrategia de </w:t>
      </w:r>
      <w:bookmarkEnd w:id="185"/>
      <w:r w:rsidRPr="00011B31">
        <w:rPr>
          <w:lang w:val="es-MX"/>
        </w:rPr>
        <w:t>estabilización del acuífero</w:t>
      </w:r>
      <w:bookmarkEnd w:id="186"/>
    </w:p>
    <w:tbl>
      <w:tblPr>
        <w:tblW w:w="8982" w:type="dxa"/>
        <w:jc w:val="center"/>
        <w:tblBorders>
          <w:top w:val="single" w:sz="12" w:space="0" w:color="008000"/>
          <w:bottom w:val="single" w:sz="12" w:space="0" w:color="008000"/>
        </w:tblBorders>
        <w:tblLayout w:type="fixed"/>
        <w:tblLook w:val="04A0"/>
      </w:tblPr>
      <w:tblGrid>
        <w:gridCol w:w="1470"/>
        <w:gridCol w:w="1559"/>
        <w:gridCol w:w="1984"/>
        <w:gridCol w:w="1985"/>
        <w:gridCol w:w="1984"/>
      </w:tblGrid>
      <w:tr w:rsidR="00011B31" w:rsidRPr="00332E2B" w:rsidTr="000E30F2">
        <w:trPr>
          <w:trHeight w:val="407"/>
          <w:jc w:val="center"/>
        </w:trPr>
        <w:tc>
          <w:tcPr>
            <w:tcW w:w="1470" w:type="dxa"/>
            <w:vMerge w:val="restart"/>
            <w:tcBorders>
              <w:top w:val="single" w:sz="8" w:space="0" w:color="008000"/>
            </w:tcBorders>
            <w:shd w:val="clear" w:color="auto" w:fill="auto"/>
            <w:noWrap/>
            <w:vAlign w:val="center"/>
            <w:hideMark/>
          </w:tcPr>
          <w:p w:rsidR="00011B31" w:rsidRPr="00332E2B" w:rsidRDefault="00011B31" w:rsidP="000E30F2">
            <w:pPr>
              <w:spacing w:after="0"/>
              <w:ind w:firstLine="0"/>
              <w:jc w:val="center"/>
              <w:rPr>
                <w:rFonts w:eastAsia="Times New Roman" w:cs="Arial"/>
                <w:sz w:val="20"/>
              </w:rPr>
            </w:pPr>
            <w:r w:rsidRPr="00332E2B">
              <w:rPr>
                <w:rFonts w:eastAsia="Times New Roman" w:cs="Arial"/>
                <w:sz w:val="20"/>
              </w:rPr>
              <w:t>Estado</w:t>
            </w:r>
          </w:p>
        </w:tc>
        <w:tc>
          <w:tcPr>
            <w:tcW w:w="1559" w:type="dxa"/>
            <w:tcBorders>
              <w:top w:val="single" w:sz="8" w:space="0" w:color="008000"/>
              <w:bottom w:val="nil"/>
            </w:tcBorders>
            <w:shd w:val="clear" w:color="auto" w:fill="auto"/>
            <w:noWrap/>
            <w:vAlign w:val="center"/>
            <w:hideMark/>
          </w:tcPr>
          <w:p w:rsidR="00011B31" w:rsidRPr="00332E2B" w:rsidRDefault="00011B31" w:rsidP="000E30F2">
            <w:pPr>
              <w:spacing w:after="0"/>
              <w:ind w:firstLine="0"/>
              <w:jc w:val="center"/>
              <w:rPr>
                <w:rFonts w:eastAsia="Times New Roman" w:cs="Arial"/>
                <w:sz w:val="20"/>
              </w:rPr>
            </w:pPr>
            <w:r w:rsidRPr="00332E2B">
              <w:rPr>
                <w:rFonts w:eastAsia="Times New Roman" w:cs="Arial"/>
                <w:sz w:val="20"/>
              </w:rPr>
              <w:t>Superficie</w:t>
            </w:r>
          </w:p>
        </w:tc>
        <w:tc>
          <w:tcPr>
            <w:tcW w:w="5953" w:type="dxa"/>
            <w:gridSpan w:val="3"/>
            <w:tcBorders>
              <w:top w:val="single" w:sz="8" w:space="0" w:color="008000"/>
              <w:bottom w:val="single" w:sz="8" w:space="0" w:color="008000"/>
            </w:tcBorders>
            <w:shd w:val="clear" w:color="auto" w:fill="auto"/>
            <w:vAlign w:val="center"/>
          </w:tcPr>
          <w:p w:rsidR="00011B31" w:rsidRPr="00332E2B" w:rsidRDefault="00011B31" w:rsidP="000E30F2">
            <w:pPr>
              <w:spacing w:after="0"/>
              <w:ind w:firstLine="0"/>
              <w:jc w:val="center"/>
              <w:rPr>
                <w:rFonts w:eastAsia="Times New Roman" w:cs="Arial"/>
                <w:sz w:val="20"/>
                <w:vertAlign w:val="superscript"/>
              </w:rPr>
            </w:pPr>
            <w:r w:rsidRPr="00332E2B">
              <w:rPr>
                <w:rFonts w:eastAsia="Times New Roman" w:cs="Arial"/>
                <w:sz w:val="20"/>
              </w:rPr>
              <w:t>Volumen anual  Mm</w:t>
            </w:r>
            <w:r w:rsidRPr="00332E2B">
              <w:rPr>
                <w:rFonts w:eastAsia="Times New Roman" w:cs="Arial"/>
                <w:sz w:val="20"/>
                <w:vertAlign w:val="superscript"/>
              </w:rPr>
              <w:t>3</w:t>
            </w:r>
          </w:p>
        </w:tc>
      </w:tr>
      <w:tr w:rsidR="00011B31" w:rsidRPr="00332E2B" w:rsidTr="000E30F2">
        <w:trPr>
          <w:trHeight w:val="355"/>
          <w:jc w:val="center"/>
        </w:trPr>
        <w:tc>
          <w:tcPr>
            <w:tcW w:w="1470" w:type="dxa"/>
            <w:vMerge/>
            <w:tcBorders>
              <w:bottom w:val="single" w:sz="8" w:space="0" w:color="008000"/>
            </w:tcBorders>
            <w:shd w:val="clear" w:color="auto" w:fill="auto"/>
            <w:noWrap/>
            <w:vAlign w:val="center"/>
            <w:hideMark/>
          </w:tcPr>
          <w:p w:rsidR="00011B31" w:rsidRPr="00332E2B" w:rsidRDefault="00011B31" w:rsidP="000E30F2">
            <w:pPr>
              <w:spacing w:after="0"/>
              <w:ind w:firstLine="0"/>
              <w:jc w:val="center"/>
              <w:rPr>
                <w:rFonts w:eastAsia="Times New Roman" w:cs="Arial"/>
                <w:sz w:val="20"/>
              </w:rPr>
            </w:pPr>
          </w:p>
        </w:tc>
        <w:tc>
          <w:tcPr>
            <w:tcW w:w="1559" w:type="dxa"/>
            <w:tcBorders>
              <w:top w:val="nil"/>
              <w:bottom w:val="single" w:sz="8" w:space="0" w:color="008000"/>
            </w:tcBorders>
            <w:shd w:val="clear" w:color="auto" w:fill="auto"/>
            <w:noWrap/>
            <w:vAlign w:val="center"/>
            <w:hideMark/>
          </w:tcPr>
          <w:p w:rsidR="00011B31" w:rsidRPr="00332E2B" w:rsidRDefault="00011B31" w:rsidP="000E30F2">
            <w:pPr>
              <w:spacing w:after="0"/>
              <w:ind w:firstLine="0"/>
              <w:jc w:val="center"/>
              <w:rPr>
                <w:rFonts w:eastAsia="Times New Roman" w:cs="Arial"/>
                <w:sz w:val="20"/>
              </w:rPr>
            </w:pPr>
            <w:r w:rsidRPr="00332E2B">
              <w:rPr>
                <w:rFonts w:eastAsia="Times New Roman" w:cs="Arial"/>
                <w:sz w:val="20"/>
              </w:rPr>
              <w:t>(ha)</w:t>
            </w:r>
          </w:p>
        </w:tc>
        <w:tc>
          <w:tcPr>
            <w:tcW w:w="1984" w:type="dxa"/>
            <w:tcBorders>
              <w:top w:val="single" w:sz="8" w:space="0" w:color="008000"/>
              <w:bottom w:val="single" w:sz="8" w:space="0" w:color="008000"/>
            </w:tcBorders>
            <w:shd w:val="clear" w:color="auto" w:fill="auto"/>
            <w:vAlign w:val="center"/>
          </w:tcPr>
          <w:p w:rsidR="00011B31" w:rsidRPr="00332E2B" w:rsidRDefault="00011B31" w:rsidP="000E30F2">
            <w:pPr>
              <w:spacing w:after="0"/>
              <w:ind w:firstLine="0"/>
              <w:jc w:val="center"/>
              <w:rPr>
                <w:rFonts w:eastAsia="Times New Roman" w:cs="Arial"/>
                <w:sz w:val="20"/>
              </w:rPr>
            </w:pPr>
            <w:r w:rsidRPr="00332E2B">
              <w:rPr>
                <w:rFonts w:eastAsia="Times New Roman" w:cs="Arial"/>
                <w:sz w:val="20"/>
              </w:rPr>
              <w:t>Demanda  actual</w:t>
            </w:r>
          </w:p>
        </w:tc>
        <w:tc>
          <w:tcPr>
            <w:tcW w:w="1985" w:type="dxa"/>
            <w:tcBorders>
              <w:top w:val="single" w:sz="8" w:space="0" w:color="008000"/>
              <w:bottom w:val="single" w:sz="8" w:space="0" w:color="008000"/>
            </w:tcBorders>
            <w:shd w:val="clear" w:color="auto" w:fill="auto"/>
            <w:vAlign w:val="center"/>
          </w:tcPr>
          <w:p w:rsidR="00011B31" w:rsidRPr="00332E2B" w:rsidRDefault="00011B31" w:rsidP="000E30F2">
            <w:pPr>
              <w:spacing w:after="0"/>
              <w:ind w:firstLine="0"/>
              <w:jc w:val="center"/>
              <w:rPr>
                <w:rFonts w:eastAsia="Times New Roman" w:cs="Arial"/>
                <w:sz w:val="20"/>
              </w:rPr>
            </w:pPr>
            <w:r w:rsidRPr="00332E2B">
              <w:rPr>
                <w:rFonts w:eastAsia="Times New Roman" w:cs="Arial"/>
                <w:sz w:val="20"/>
              </w:rPr>
              <w:t>Demanda  Futura</w:t>
            </w:r>
          </w:p>
        </w:tc>
        <w:tc>
          <w:tcPr>
            <w:tcW w:w="1984" w:type="dxa"/>
            <w:tcBorders>
              <w:top w:val="single" w:sz="8" w:space="0" w:color="008000"/>
              <w:bottom w:val="single" w:sz="8" w:space="0" w:color="008000"/>
            </w:tcBorders>
            <w:shd w:val="clear" w:color="auto" w:fill="auto"/>
            <w:vAlign w:val="center"/>
          </w:tcPr>
          <w:p w:rsidR="00011B31" w:rsidRPr="00332E2B" w:rsidRDefault="00011B31" w:rsidP="000E30F2">
            <w:pPr>
              <w:spacing w:after="0"/>
              <w:ind w:firstLine="0"/>
              <w:jc w:val="center"/>
              <w:rPr>
                <w:rFonts w:eastAsia="Times New Roman" w:cs="Arial"/>
                <w:sz w:val="20"/>
              </w:rPr>
            </w:pPr>
            <w:r w:rsidRPr="00332E2B">
              <w:rPr>
                <w:rFonts w:eastAsia="Times New Roman" w:cs="Arial"/>
                <w:sz w:val="20"/>
              </w:rPr>
              <w:t>Concesión 2010</w:t>
            </w:r>
          </w:p>
        </w:tc>
      </w:tr>
      <w:tr w:rsidR="00011B31" w:rsidRPr="00332E2B" w:rsidTr="000E30F2">
        <w:trPr>
          <w:trHeight w:val="90"/>
          <w:jc w:val="center"/>
        </w:trPr>
        <w:tc>
          <w:tcPr>
            <w:tcW w:w="1470" w:type="dxa"/>
            <w:tcBorders>
              <w:top w:val="single" w:sz="8" w:space="0" w:color="008000"/>
            </w:tcBorders>
            <w:shd w:val="clear" w:color="auto" w:fill="auto"/>
            <w:noWrap/>
            <w:hideMark/>
          </w:tcPr>
          <w:p w:rsidR="00011B31" w:rsidRPr="00332E2B" w:rsidRDefault="00011B31" w:rsidP="000E30F2">
            <w:pPr>
              <w:spacing w:after="0"/>
              <w:jc w:val="left"/>
              <w:rPr>
                <w:rFonts w:eastAsia="Times New Roman" w:cs="Arial"/>
                <w:sz w:val="20"/>
              </w:rPr>
            </w:pPr>
            <w:r w:rsidRPr="00332E2B">
              <w:rPr>
                <w:rFonts w:eastAsia="Times New Roman" w:cs="Arial"/>
                <w:sz w:val="20"/>
              </w:rPr>
              <w:t>Puebla </w:t>
            </w:r>
          </w:p>
        </w:tc>
        <w:tc>
          <w:tcPr>
            <w:tcW w:w="1559" w:type="dxa"/>
            <w:tcBorders>
              <w:top w:val="single" w:sz="8" w:space="0" w:color="008000"/>
            </w:tcBorders>
            <w:shd w:val="clear" w:color="auto" w:fill="auto"/>
            <w:noWrap/>
            <w:hideMark/>
          </w:tcPr>
          <w:p w:rsidR="00011B31" w:rsidRPr="00332E2B" w:rsidRDefault="00011B31" w:rsidP="000E30F2">
            <w:pPr>
              <w:spacing w:after="0"/>
              <w:jc w:val="center"/>
              <w:rPr>
                <w:rFonts w:eastAsia="Times New Roman" w:cs="Arial"/>
                <w:sz w:val="20"/>
              </w:rPr>
            </w:pPr>
            <w:r w:rsidRPr="00332E2B">
              <w:rPr>
                <w:rFonts w:eastAsia="Times New Roman" w:cs="Arial"/>
                <w:sz w:val="20"/>
              </w:rPr>
              <w:t>20,400</w:t>
            </w:r>
          </w:p>
        </w:tc>
        <w:tc>
          <w:tcPr>
            <w:tcW w:w="1984" w:type="dxa"/>
            <w:tcBorders>
              <w:top w:val="single" w:sz="8" w:space="0" w:color="008000"/>
            </w:tcBorders>
            <w:shd w:val="clear" w:color="auto" w:fill="auto"/>
          </w:tcPr>
          <w:p w:rsidR="00011B31" w:rsidRPr="00332E2B" w:rsidRDefault="00011B31" w:rsidP="000E30F2">
            <w:pPr>
              <w:spacing w:after="0"/>
              <w:jc w:val="center"/>
              <w:rPr>
                <w:rFonts w:cs="Arial"/>
                <w:bCs/>
                <w:sz w:val="20"/>
              </w:rPr>
            </w:pPr>
            <w:r w:rsidRPr="00332E2B">
              <w:rPr>
                <w:rFonts w:cs="Arial"/>
                <w:bCs/>
                <w:sz w:val="20"/>
              </w:rPr>
              <w:t>188.5</w:t>
            </w:r>
          </w:p>
        </w:tc>
        <w:tc>
          <w:tcPr>
            <w:tcW w:w="1985" w:type="dxa"/>
            <w:tcBorders>
              <w:top w:val="single" w:sz="8" w:space="0" w:color="008000"/>
            </w:tcBorders>
            <w:shd w:val="clear" w:color="auto" w:fill="auto"/>
          </w:tcPr>
          <w:p w:rsidR="00011B31" w:rsidRPr="00332E2B" w:rsidRDefault="00011B31" w:rsidP="000E30F2">
            <w:pPr>
              <w:spacing w:after="0"/>
              <w:jc w:val="center"/>
              <w:rPr>
                <w:rFonts w:cs="Arial"/>
                <w:bCs/>
                <w:sz w:val="20"/>
              </w:rPr>
            </w:pPr>
            <w:r w:rsidRPr="00332E2B">
              <w:rPr>
                <w:rFonts w:cs="Arial"/>
                <w:bCs/>
                <w:sz w:val="20"/>
              </w:rPr>
              <w:t>145.4</w:t>
            </w:r>
          </w:p>
        </w:tc>
        <w:tc>
          <w:tcPr>
            <w:tcW w:w="1984" w:type="dxa"/>
            <w:tcBorders>
              <w:top w:val="single" w:sz="8" w:space="0" w:color="008000"/>
            </w:tcBorders>
            <w:shd w:val="clear" w:color="auto" w:fill="auto"/>
          </w:tcPr>
          <w:p w:rsidR="00011B31" w:rsidRPr="00332E2B" w:rsidRDefault="00011B31" w:rsidP="000E30F2">
            <w:pPr>
              <w:spacing w:after="0"/>
              <w:jc w:val="center"/>
              <w:rPr>
                <w:rFonts w:cs="Arial"/>
                <w:bCs/>
                <w:sz w:val="20"/>
              </w:rPr>
            </w:pPr>
            <w:r w:rsidRPr="00332E2B">
              <w:rPr>
                <w:rFonts w:cs="Arial"/>
                <w:bCs/>
                <w:sz w:val="20"/>
              </w:rPr>
              <w:t>145.6</w:t>
            </w:r>
          </w:p>
        </w:tc>
      </w:tr>
      <w:tr w:rsidR="00011B31" w:rsidRPr="00332E2B" w:rsidTr="000E30F2">
        <w:trPr>
          <w:trHeight w:val="300"/>
          <w:jc w:val="center"/>
        </w:trPr>
        <w:tc>
          <w:tcPr>
            <w:tcW w:w="1470" w:type="dxa"/>
            <w:tcBorders>
              <w:bottom w:val="nil"/>
            </w:tcBorders>
            <w:shd w:val="clear" w:color="auto" w:fill="auto"/>
            <w:noWrap/>
            <w:hideMark/>
          </w:tcPr>
          <w:p w:rsidR="00011B31" w:rsidRPr="00332E2B" w:rsidRDefault="00011B31" w:rsidP="000E30F2">
            <w:pPr>
              <w:spacing w:after="0"/>
              <w:jc w:val="left"/>
              <w:rPr>
                <w:rFonts w:eastAsia="Times New Roman" w:cs="Arial"/>
                <w:sz w:val="20"/>
              </w:rPr>
            </w:pPr>
            <w:r w:rsidRPr="00332E2B">
              <w:rPr>
                <w:rFonts w:eastAsia="Times New Roman" w:cs="Arial"/>
                <w:sz w:val="20"/>
              </w:rPr>
              <w:t>Tlaxcala </w:t>
            </w:r>
          </w:p>
        </w:tc>
        <w:tc>
          <w:tcPr>
            <w:tcW w:w="1559" w:type="dxa"/>
            <w:tcBorders>
              <w:bottom w:val="nil"/>
            </w:tcBorders>
            <w:shd w:val="clear" w:color="auto" w:fill="auto"/>
            <w:noWrap/>
            <w:hideMark/>
          </w:tcPr>
          <w:p w:rsidR="00011B31" w:rsidRPr="00332E2B" w:rsidRDefault="00011B31" w:rsidP="000E30F2">
            <w:pPr>
              <w:spacing w:after="0"/>
              <w:jc w:val="center"/>
              <w:rPr>
                <w:rFonts w:eastAsia="Times New Roman" w:cs="Arial"/>
                <w:sz w:val="20"/>
              </w:rPr>
            </w:pPr>
            <w:r w:rsidRPr="00332E2B">
              <w:rPr>
                <w:rFonts w:eastAsia="Times New Roman" w:cs="Arial"/>
                <w:sz w:val="20"/>
              </w:rPr>
              <w:t>9,100</w:t>
            </w:r>
          </w:p>
        </w:tc>
        <w:tc>
          <w:tcPr>
            <w:tcW w:w="1984" w:type="dxa"/>
            <w:tcBorders>
              <w:bottom w:val="nil"/>
            </w:tcBorders>
            <w:shd w:val="clear" w:color="auto" w:fill="auto"/>
          </w:tcPr>
          <w:p w:rsidR="00011B31" w:rsidRPr="00332E2B" w:rsidRDefault="00011B31" w:rsidP="000E30F2">
            <w:pPr>
              <w:spacing w:after="0"/>
              <w:jc w:val="center"/>
              <w:rPr>
                <w:rFonts w:cs="Arial"/>
                <w:bCs/>
                <w:sz w:val="20"/>
              </w:rPr>
            </w:pPr>
            <w:r w:rsidRPr="00332E2B">
              <w:rPr>
                <w:rFonts w:cs="Arial"/>
                <w:bCs/>
                <w:sz w:val="20"/>
              </w:rPr>
              <w:t>84.6</w:t>
            </w:r>
          </w:p>
        </w:tc>
        <w:tc>
          <w:tcPr>
            <w:tcW w:w="1985" w:type="dxa"/>
            <w:tcBorders>
              <w:bottom w:val="nil"/>
            </w:tcBorders>
            <w:shd w:val="clear" w:color="auto" w:fill="auto"/>
          </w:tcPr>
          <w:p w:rsidR="00011B31" w:rsidRPr="00332E2B" w:rsidRDefault="00011B31" w:rsidP="000E30F2">
            <w:pPr>
              <w:spacing w:after="0"/>
              <w:jc w:val="center"/>
              <w:rPr>
                <w:rFonts w:cs="Arial"/>
                <w:bCs/>
                <w:sz w:val="20"/>
              </w:rPr>
            </w:pPr>
            <w:r w:rsidRPr="00332E2B">
              <w:rPr>
                <w:rFonts w:cs="Arial"/>
                <w:bCs/>
                <w:sz w:val="20"/>
              </w:rPr>
              <w:t>54.6</w:t>
            </w:r>
          </w:p>
        </w:tc>
        <w:tc>
          <w:tcPr>
            <w:tcW w:w="1984" w:type="dxa"/>
            <w:tcBorders>
              <w:bottom w:val="nil"/>
            </w:tcBorders>
            <w:shd w:val="clear" w:color="auto" w:fill="auto"/>
          </w:tcPr>
          <w:p w:rsidR="00011B31" w:rsidRPr="00332E2B" w:rsidRDefault="00011B31" w:rsidP="000E30F2">
            <w:pPr>
              <w:spacing w:after="0"/>
              <w:jc w:val="center"/>
              <w:rPr>
                <w:rFonts w:cs="Arial"/>
                <w:bCs/>
                <w:sz w:val="20"/>
              </w:rPr>
            </w:pPr>
            <w:r w:rsidRPr="00332E2B">
              <w:rPr>
                <w:rFonts w:cs="Arial"/>
                <w:bCs/>
                <w:sz w:val="20"/>
              </w:rPr>
              <w:t>40.3</w:t>
            </w:r>
          </w:p>
        </w:tc>
      </w:tr>
      <w:tr w:rsidR="00011B31" w:rsidRPr="00332E2B" w:rsidTr="000E30F2">
        <w:trPr>
          <w:trHeight w:val="117"/>
          <w:jc w:val="center"/>
        </w:trPr>
        <w:tc>
          <w:tcPr>
            <w:tcW w:w="1470" w:type="dxa"/>
            <w:tcBorders>
              <w:top w:val="nil"/>
              <w:bottom w:val="single" w:sz="4" w:space="0" w:color="auto"/>
            </w:tcBorders>
            <w:shd w:val="clear" w:color="auto" w:fill="auto"/>
            <w:noWrap/>
            <w:hideMark/>
          </w:tcPr>
          <w:p w:rsidR="00011B31" w:rsidRPr="00332E2B" w:rsidRDefault="00011B31" w:rsidP="000E30F2">
            <w:pPr>
              <w:spacing w:after="0"/>
              <w:jc w:val="left"/>
              <w:rPr>
                <w:rFonts w:eastAsia="Times New Roman" w:cs="Arial"/>
                <w:sz w:val="20"/>
              </w:rPr>
            </w:pPr>
            <w:r w:rsidRPr="00332E2B">
              <w:rPr>
                <w:rFonts w:eastAsia="Times New Roman" w:cs="Arial"/>
                <w:sz w:val="20"/>
              </w:rPr>
              <w:t>Veracruz </w:t>
            </w:r>
          </w:p>
        </w:tc>
        <w:tc>
          <w:tcPr>
            <w:tcW w:w="1559" w:type="dxa"/>
            <w:tcBorders>
              <w:top w:val="nil"/>
              <w:bottom w:val="single" w:sz="4" w:space="0" w:color="auto"/>
            </w:tcBorders>
            <w:shd w:val="clear" w:color="auto" w:fill="auto"/>
            <w:noWrap/>
            <w:hideMark/>
          </w:tcPr>
          <w:p w:rsidR="00011B31" w:rsidRPr="00332E2B" w:rsidRDefault="00011B31" w:rsidP="000E30F2">
            <w:pPr>
              <w:spacing w:after="0"/>
              <w:jc w:val="center"/>
              <w:rPr>
                <w:rFonts w:eastAsia="Times New Roman" w:cs="Arial"/>
                <w:sz w:val="20"/>
              </w:rPr>
            </w:pPr>
            <w:r w:rsidRPr="00332E2B">
              <w:rPr>
                <w:rFonts w:eastAsia="Times New Roman" w:cs="Arial"/>
                <w:sz w:val="20"/>
              </w:rPr>
              <w:t>3,000</w:t>
            </w:r>
          </w:p>
        </w:tc>
        <w:tc>
          <w:tcPr>
            <w:tcW w:w="1984" w:type="dxa"/>
            <w:tcBorders>
              <w:top w:val="nil"/>
              <w:bottom w:val="single" w:sz="4" w:space="0" w:color="auto"/>
            </w:tcBorders>
            <w:shd w:val="clear" w:color="auto" w:fill="auto"/>
          </w:tcPr>
          <w:p w:rsidR="00011B31" w:rsidRPr="00332E2B" w:rsidRDefault="00011B31" w:rsidP="000E30F2">
            <w:pPr>
              <w:spacing w:after="0"/>
              <w:jc w:val="center"/>
              <w:rPr>
                <w:rFonts w:cs="Arial"/>
                <w:bCs/>
                <w:sz w:val="20"/>
              </w:rPr>
            </w:pPr>
            <w:r w:rsidRPr="00332E2B">
              <w:rPr>
                <w:rFonts w:cs="Arial"/>
                <w:bCs/>
                <w:sz w:val="20"/>
              </w:rPr>
              <w:t>10.9</w:t>
            </w:r>
          </w:p>
        </w:tc>
        <w:tc>
          <w:tcPr>
            <w:tcW w:w="1985" w:type="dxa"/>
            <w:tcBorders>
              <w:top w:val="nil"/>
              <w:bottom w:val="single" w:sz="4" w:space="0" w:color="auto"/>
            </w:tcBorders>
            <w:shd w:val="clear" w:color="auto" w:fill="auto"/>
          </w:tcPr>
          <w:p w:rsidR="00011B31" w:rsidRPr="00332E2B" w:rsidRDefault="00011B31" w:rsidP="000E30F2">
            <w:pPr>
              <w:spacing w:after="0"/>
              <w:jc w:val="center"/>
              <w:rPr>
                <w:rFonts w:cs="Arial"/>
                <w:bCs/>
                <w:sz w:val="20"/>
              </w:rPr>
            </w:pPr>
            <w:r w:rsidRPr="00332E2B">
              <w:rPr>
                <w:rFonts w:cs="Arial"/>
                <w:bCs/>
                <w:sz w:val="20"/>
              </w:rPr>
              <w:t>4.8*</w:t>
            </w:r>
          </w:p>
        </w:tc>
        <w:tc>
          <w:tcPr>
            <w:tcW w:w="1984" w:type="dxa"/>
            <w:tcBorders>
              <w:top w:val="nil"/>
              <w:bottom w:val="single" w:sz="4" w:space="0" w:color="auto"/>
            </w:tcBorders>
            <w:shd w:val="clear" w:color="auto" w:fill="auto"/>
          </w:tcPr>
          <w:p w:rsidR="00011B31" w:rsidRPr="00332E2B" w:rsidRDefault="00011B31" w:rsidP="000E30F2">
            <w:pPr>
              <w:spacing w:after="0"/>
              <w:jc w:val="center"/>
              <w:rPr>
                <w:rFonts w:cs="Arial"/>
                <w:bCs/>
                <w:sz w:val="20"/>
              </w:rPr>
            </w:pPr>
            <w:r w:rsidRPr="00332E2B">
              <w:rPr>
                <w:rFonts w:cs="Arial"/>
                <w:bCs/>
                <w:sz w:val="20"/>
              </w:rPr>
              <w:t>20.2</w:t>
            </w:r>
          </w:p>
        </w:tc>
      </w:tr>
      <w:tr w:rsidR="00011B31" w:rsidRPr="00332E2B" w:rsidTr="000E30F2">
        <w:trPr>
          <w:trHeight w:val="198"/>
          <w:jc w:val="center"/>
        </w:trPr>
        <w:tc>
          <w:tcPr>
            <w:tcW w:w="1470" w:type="dxa"/>
            <w:tcBorders>
              <w:top w:val="single" w:sz="4" w:space="0" w:color="auto"/>
            </w:tcBorders>
            <w:shd w:val="clear" w:color="auto" w:fill="auto"/>
            <w:noWrap/>
            <w:hideMark/>
          </w:tcPr>
          <w:p w:rsidR="00011B31" w:rsidRPr="00332E2B" w:rsidRDefault="00011B31" w:rsidP="000E30F2">
            <w:pPr>
              <w:spacing w:after="0"/>
              <w:jc w:val="left"/>
              <w:rPr>
                <w:rFonts w:eastAsia="Times New Roman" w:cs="Arial"/>
                <w:b/>
                <w:sz w:val="20"/>
              </w:rPr>
            </w:pPr>
            <w:r w:rsidRPr="00332E2B">
              <w:rPr>
                <w:rFonts w:eastAsia="Times New Roman" w:cs="Arial"/>
                <w:b/>
                <w:sz w:val="20"/>
              </w:rPr>
              <w:t>Total </w:t>
            </w:r>
          </w:p>
        </w:tc>
        <w:tc>
          <w:tcPr>
            <w:tcW w:w="1559" w:type="dxa"/>
            <w:tcBorders>
              <w:top w:val="single" w:sz="4" w:space="0" w:color="auto"/>
            </w:tcBorders>
            <w:shd w:val="clear" w:color="auto" w:fill="auto"/>
            <w:noWrap/>
            <w:hideMark/>
          </w:tcPr>
          <w:p w:rsidR="00011B31" w:rsidRPr="00332E2B" w:rsidRDefault="00011B31" w:rsidP="000E30F2">
            <w:pPr>
              <w:spacing w:after="0"/>
              <w:jc w:val="center"/>
              <w:rPr>
                <w:rFonts w:eastAsia="Times New Roman" w:cs="Arial"/>
                <w:b/>
                <w:sz w:val="20"/>
              </w:rPr>
            </w:pPr>
            <w:r w:rsidRPr="00332E2B">
              <w:rPr>
                <w:rFonts w:eastAsia="Times New Roman" w:cs="Arial"/>
                <w:b/>
                <w:sz w:val="20"/>
              </w:rPr>
              <w:t>32,500</w:t>
            </w:r>
          </w:p>
        </w:tc>
        <w:tc>
          <w:tcPr>
            <w:tcW w:w="1984" w:type="dxa"/>
            <w:tcBorders>
              <w:top w:val="single" w:sz="4" w:space="0" w:color="auto"/>
            </w:tcBorders>
            <w:shd w:val="clear" w:color="auto" w:fill="auto"/>
          </w:tcPr>
          <w:p w:rsidR="00011B31" w:rsidRPr="00332E2B" w:rsidRDefault="00011B31" w:rsidP="000E30F2">
            <w:pPr>
              <w:spacing w:after="0"/>
              <w:jc w:val="center"/>
              <w:rPr>
                <w:rFonts w:cs="Arial"/>
                <w:b/>
                <w:bCs/>
                <w:sz w:val="20"/>
              </w:rPr>
            </w:pPr>
            <w:r w:rsidRPr="00332E2B">
              <w:rPr>
                <w:rFonts w:cs="Arial"/>
                <w:b/>
                <w:bCs/>
                <w:sz w:val="20"/>
              </w:rPr>
              <w:t>284.0</w:t>
            </w:r>
          </w:p>
        </w:tc>
        <w:tc>
          <w:tcPr>
            <w:tcW w:w="1985" w:type="dxa"/>
            <w:tcBorders>
              <w:top w:val="single" w:sz="4" w:space="0" w:color="auto"/>
            </w:tcBorders>
            <w:shd w:val="clear" w:color="auto" w:fill="auto"/>
          </w:tcPr>
          <w:p w:rsidR="00011B31" w:rsidRPr="00332E2B" w:rsidRDefault="00011B31" w:rsidP="000E30F2">
            <w:pPr>
              <w:spacing w:after="0"/>
              <w:jc w:val="center"/>
              <w:rPr>
                <w:rFonts w:cs="Arial"/>
                <w:b/>
                <w:bCs/>
                <w:sz w:val="20"/>
              </w:rPr>
            </w:pPr>
            <w:r w:rsidRPr="00332E2B">
              <w:rPr>
                <w:rFonts w:cs="Arial"/>
                <w:b/>
                <w:bCs/>
                <w:sz w:val="20"/>
              </w:rPr>
              <w:t>204.8</w:t>
            </w:r>
          </w:p>
        </w:tc>
        <w:tc>
          <w:tcPr>
            <w:tcW w:w="1984" w:type="dxa"/>
            <w:tcBorders>
              <w:top w:val="single" w:sz="4" w:space="0" w:color="auto"/>
            </w:tcBorders>
            <w:shd w:val="clear" w:color="auto" w:fill="auto"/>
          </w:tcPr>
          <w:p w:rsidR="00011B31" w:rsidRPr="00332E2B" w:rsidRDefault="00011B31" w:rsidP="000E30F2">
            <w:pPr>
              <w:spacing w:after="0"/>
              <w:jc w:val="center"/>
              <w:rPr>
                <w:rFonts w:cs="Arial"/>
                <w:b/>
                <w:bCs/>
                <w:sz w:val="20"/>
              </w:rPr>
            </w:pPr>
            <w:r w:rsidRPr="00332E2B">
              <w:rPr>
                <w:rFonts w:cs="Arial"/>
                <w:b/>
                <w:bCs/>
                <w:sz w:val="20"/>
              </w:rPr>
              <w:t>206.1</w:t>
            </w:r>
          </w:p>
        </w:tc>
      </w:tr>
    </w:tbl>
    <w:p w:rsidR="00011B31" w:rsidRPr="001A7174" w:rsidRDefault="00011B31" w:rsidP="00011B31">
      <w:pPr>
        <w:rPr>
          <w:sz w:val="18"/>
        </w:rPr>
      </w:pPr>
      <w:r w:rsidRPr="001A7174">
        <w:rPr>
          <w:sz w:val="18"/>
        </w:rPr>
        <w:t>*En la zona de Perote es viable tanto concesionar como aprovechar más volúmenes subterráneos</w:t>
      </w:r>
    </w:p>
    <w:p w:rsidR="00011B31" w:rsidRPr="00BE32E4" w:rsidRDefault="00011B31" w:rsidP="00011B31">
      <w:r w:rsidRPr="00332E2B">
        <w:t>Se recomienda que el consumo de agua agrícola de origen subterráneo no sea inferior a 205 hm</w:t>
      </w:r>
      <w:r w:rsidRPr="00332E2B">
        <w:rPr>
          <w:vertAlign w:val="superscript"/>
        </w:rPr>
        <w:t>3</w:t>
      </w:r>
      <w:r w:rsidRPr="00332E2B">
        <w:t>, de hecho puede ser mayor en la zona del acuífero de Perote – Zalayeta; esta tasa de extracción permitirá recuperar una condición de equilibrio en los acuíferos d</w:t>
      </w:r>
      <w:r w:rsidR="00F32ECB">
        <w:t>e Huamantla y Libres – Oriental</w:t>
      </w:r>
      <w:r w:rsidRPr="00332E2B">
        <w:t xml:space="preserve">. Este escenario se alcanzaría alrededor del año 2025 aunque favorecido por proyectos de recarga artificial que de no llevarse a cabo reducirían la oferta agrícola subterránea </w:t>
      </w:r>
      <w:r w:rsidRPr="00F81FF4">
        <w:t>en 15 hm</w:t>
      </w:r>
      <w:r w:rsidRPr="00332E2B">
        <w:rPr>
          <w:b/>
        </w:rPr>
        <w:t xml:space="preserve">³ </w:t>
      </w:r>
      <w:r w:rsidRPr="00332E2B">
        <w:t xml:space="preserve">(cifra estimada). Estas condiciones serán posibles al presurizar una superficie próxima a las 12 mil hectáreas, en caso de que la presurización se extienda hacia el resto de las áreas agrícolas, sería posible aumentar </w:t>
      </w:r>
      <w:r w:rsidRPr="00F81FF4">
        <w:t>un 40% el área bajo riego, equivalentes a 13 mil ha</w:t>
      </w:r>
      <w:r w:rsidRPr="00332E2B">
        <w:t>, sin consumir mayores volúmenes a los concesionados actualmente; sin embargo, dicha condición no será posible bajo</w:t>
      </w:r>
      <w:r>
        <w:t xml:space="preserve"> las condiciones actuales de comercialización de los cultivos básicos, que carecen de la productividad necesaria para justificar sistem</w:t>
      </w:r>
      <w:r w:rsidR="00F32ECB">
        <w:t>as de riego de alta eficiencia.</w:t>
      </w:r>
    </w:p>
    <w:p w:rsidR="00F32ECB" w:rsidRDefault="00011B31" w:rsidP="00011B31">
      <w:r>
        <w:t xml:space="preserve">En términos del la sustitución de aguas de primer uso por aguas residuales en la agricultura se enfrenta un reto importante. Normalmente, los volúmenes de agua residual se encuentran previamente comprometidos, </w:t>
      </w:r>
      <w:r w:rsidR="00F32ECB">
        <w:t xml:space="preserve">y solo se vislumbra una oportunidad con aquello volúmenes </w:t>
      </w:r>
      <w:r w:rsidR="00F32ECB">
        <w:lastRenderedPageBreak/>
        <w:t xml:space="preserve">generados en exceso a partir del 2012, siempre y cuando estos volúmenes se generen gracias a la operatividad de una infraestructura de saneamiento en la mayor parte de zonas urbanas </w:t>
      </w:r>
    </w:p>
    <w:p w:rsidR="00011B31" w:rsidRDefault="00011B31" w:rsidP="00011B31">
      <w:r>
        <w:t>La tecnificación de sistemas de riego está propuesta en tres etapas.  La primera, consiste en acciones de nivelación y reducción del desperdicio de agua en las parcelas; la segunda, en un proceso de tecnificación avanzado, que considere principalmente los cultivos actuales; la tercera o última, consiste en un alto nivel de tecnificación mediante sistemas de goteo o invernaderos, conjugada necesariamente con la promoción de cultivos de alta densidad económica.</w:t>
      </w:r>
    </w:p>
    <w:p w:rsidR="00011B31" w:rsidRDefault="00011B31" w:rsidP="00011B31">
      <w:r>
        <w:t xml:space="preserve">De acuerdo con el grado de sobreexplotación, la zona de Perote no requiere de proyectos para la estabilización del acuífero, está </w:t>
      </w:r>
      <w:proofErr w:type="spellStart"/>
      <w:r>
        <w:t>subexplotado</w:t>
      </w:r>
      <w:proofErr w:type="spellEnd"/>
      <w:r>
        <w:t>; no obstante, es de esperarse que ocurran proyectos hidroagrícolas de crecimiento de áreas agrícolas que con base en su plan director, tendrán alta eficiencia en el uso del agua.</w:t>
      </w:r>
    </w:p>
    <w:p w:rsidR="00011B31" w:rsidRPr="00D20568" w:rsidRDefault="00011B31" w:rsidP="00011B31">
      <w:r>
        <w:t>Las zonas de Huamantla y Libres Oriental, requieren proyectos de modernización de sistema de riego y para el caso particular de Huamantla, se identifica que será necesario incursionar en sistemas de alta eficiencia para cultivos de alta densidad económica, que permitan reducir las extracciones en una mayor proporción que en los otros dos acuíferos.</w:t>
      </w:r>
    </w:p>
    <w:p w:rsidR="00011B31" w:rsidRDefault="00011B31" w:rsidP="00011B31">
      <w:r>
        <w:t xml:space="preserve">La presente línea de acción tiene por objeto establecer las bases de acción para la ampliación de las áreas bajo riego a través modernización de la infraestructura hidroagrícola y de la tecnificación del riego </w:t>
      </w:r>
      <w:r w:rsidRPr="00F81FF4">
        <w:t>en 15 mil ha.</w:t>
      </w:r>
    </w:p>
    <w:p w:rsidR="00011B31" w:rsidRPr="00F52BCA" w:rsidRDefault="00011B31" w:rsidP="00011B31">
      <w:pPr>
        <w:ind w:firstLine="0"/>
      </w:pPr>
      <w:r w:rsidRPr="00F52BCA">
        <w:t>Para efectos de referencia, el costo de ampliación de superficie por hectárea oscila sobre los $40,000.00 MN, y la superficie por tecnificar del orden de 1</w:t>
      </w:r>
      <w:r>
        <w:t>5</w:t>
      </w:r>
      <w:r w:rsidRPr="00F52BCA">
        <w:t>,</w:t>
      </w:r>
      <w:r>
        <w:t>120</w:t>
      </w:r>
      <w:r w:rsidRPr="00F52BCA">
        <w:t xml:space="preserve"> ha totales en el acuífero HLOP.</w:t>
      </w:r>
    </w:p>
    <w:p w:rsidR="000F3AF4" w:rsidRDefault="000F3AF4" w:rsidP="000F3AF4">
      <w:pPr>
        <w:ind w:firstLine="0"/>
      </w:pPr>
      <w:r w:rsidRPr="00EF083B">
        <w:rPr>
          <w:i/>
        </w:rPr>
        <w:t>Línea de acción 1.2.</w:t>
      </w:r>
      <w:r w:rsidR="00500FB9">
        <w:rPr>
          <w:i/>
        </w:rPr>
        <w:t>2</w:t>
      </w:r>
      <w:r w:rsidRPr="00EF083B">
        <w:rPr>
          <w:i/>
        </w:rPr>
        <w:t>.</w:t>
      </w:r>
      <w:r>
        <w:t xml:space="preserve">  Construcción de invernaderos</w:t>
      </w:r>
    </w:p>
    <w:p w:rsidR="005503B4" w:rsidRDefault="005503B4" w:rsidP="005503B4">
      <w:r>
        <w:t>Como parte del programa para incrementar la productividad del agua en el sector agrícola, la construcción de invernaderos permitirá producir cultivos de alta densidad económica, a su vez con áreas de oportunidad en distintos períodos estacionales del año y en nuevos mercados.  La demanda de agua para este tipo de sistemas de riego, representa un esquema ideal de maximización para la productividad hídrica, con riegos localizados con un mínimo de pérdidas.  Aun cuando  es necesario promover este tipo de sistemas productivos, su construcción obedece a un programa en varios sentidos donde la capacitación, el financiamiento y la comercialización son de suma importancia.</w:t>
      </w:r>
    </w:p>
    <w:p w:rsidR="005503B4" w:rsidRDefault="005503B4" w:rsidP="005503B4">
      <w:r>
        <w:t>El Plan de Manejo de las Aguas Subterráneas del Acuífero Huamantla-Libres Oriental-Perote reconoce que las unidades de riego localizadas en el área disponen de un porcentaje alto de riegos presurizados (aspersión en su mayoría); por otro lado los productores del estado de Veracruz disponen de la experiencia necesaria para la producción de hortalizas bajo riego de aspersión y experiencia en su comercialización. El Plan Director existente para esta área  anota la solicitud y el interés de los productores de la zona para establecer producción agrícola en invernaderos.</w:t>
      </w:r>
    </w:p>
    <w:p w:rsidR="005503B4" w:rsidRDefault="005503B4" w:rsidP="005503B4">
      <w:pPr>
        <w:rPr>
          <w:szCs w:val="22"/>
        </w:rPr>
      </w:pPr>
      <w:r>
        <w:rPr>
          <w:szCs w:val="22"/>
        </w:rPr>
        <w:lastRenderedPageBreak/>
        <w:t>Los montos de los apoyos considerados en el programa de la Alianza para el Campo para este concepto son limitados en superficie y en cuanto a número de usuarios. Por esta razón se considera muy importante establecer un programa piloto para apoyo a productores de la región que les permita ingresar a la agricultura de alta productividad y calidad con los altos riesgos inherentes a este tipo de inversiones.</w:t>
      </w:r>
    </w:p>
    <w:p w:rsidR="005503B4" w:rsidRDefault="005503B4" w:rsidP="005503B4">
      <w:pPr>
        <w:rPr>
          <w:lang w:eastAsia="en-US"/>
        </w:rPr>
      </w:pPr>
      <w:r>
        <w:t>Por lo anterior, se pretende e</w:t>
      </w:r>
      <w:r w:rsidRPr="004301F1">
        <w:t xml:space="preserve">stablecer las bases de acción para el </w:t>
      </w:r>
      <w:r>
        <w:t>incremento</w:t>
      </w:r>
      <w:r w:rsidRPr="004301F1">
        <w:t xml:space="preserve"> de la productividad  </w:t>
      </w:r>
      <w:r>
        <w:t xml:space="preserve">y calidad de </w:t>
      </w:r>
      <w:r w:rsidRPr="004301F1">
        <w:t>la</w:t>
      </w:r>
      <w:r>
        <w:t>s cosechas a través de sistemas</w:t>
      </w:r>
      <w:r w:rsidRPr="004301F1">
        <w:rPr>
          <w:lang w:eastAsia="en-US"/>
        </w:rPr>
        <w:t xml:space="preserve"> de </w:t>
      </w:r>
      <w:r>
        <w:rPr>
          <w:lang w:eastAsia="en-US"/>
        </w:rPr>
        <w:t>r</w:t>
      </w:r>
      <w:r w:rsidRPr="004301F1">
        <w:rPr>
          <w:lang w:eastAsia="en-US"/>
        </w:rPr>
        <w:t>iego para agricultura controlada de bajo consumo de agua</w:t>
      </w:r>
      <w:r>
        <w:rPr>
          <w:lang w:eastAsia="en-US"/>
        </w:rPr>
        <w:t xml:space="preserve">, con el establecimiento de </w:t>
      </w:r>
      <w:r w:rsidRPr="00037552">
        <w:rPr>
          <w:lang w:eastAsia="en-US"/>
        </w:rPr>
        <w:t>1</w:t>
      </w:r>
      <w:r>
        <w:rPr>
          <w:lang w:eastAsia="en-US"/>
        </w:rPr>
        <w:t>0</w:t>
      </w:r>
      <w:r w:rsidRPr="00037552">
        <w:rPr>
          <w:lang w:eastAsia="en-US"/>
        </w:rPr>
        <w:t xml:space="preserve"> invernadero</w:t>
      </w:r>
      <w:r>
        <w:rPr>
          <w:lang w:eastAsia="en-US"/>
        </w:rPr>
        <w:t xml:space="preserve">s para una superficie total </w:t>
      </w:r>
      <w:r w:rsidRPr="00037552">
        <w:rPr>
          <w:lang w:eastAsia="en-US"/>
        </w:rPr>
        <w:t>de 1 hectárea</w:t>
      </w:r>
      <w:r>
        <w:rPr>
          <w:lang w:eastAsia="en-US"/>
        </w:rPr>
        <w:t xml:space="preserve"> con este sistema</w:t>
      </w:r>
      <w:r w:rsidRPr="004301F1">
        <w:rPr>
          <w:lang w:eastAsia="en-US"/>
        </w:rPr>
        <w:t>.</w:t>
      </w:r>
    </w:p>
    <w:p w:rsidR="005503B4" w:rsidRPr="00036A13" w:rsidRDefault="005503B4" w:rsidP="005503B4">
      <w:r>
        <w:t xml:space="preserve"> </w:t>
      </w:r>
      <w:r w:rsidRPr="00036A13">
        <w:t xml:space="preserve">El Plan Director de las Unidades de Riego que integran la SRL “Desarrollo Sustentable del Valle de Perote (UR Valle de Perote), Ver. </w:t>
      </w:r>
      <w:proofErr w:type="gramStart"/>
      <w:r w:rsidRPr="00036A13">
        <w:t>elaborado</w:t>
      </w:r>
      <w:proofErr w:type="gramEnd"/>
      <w:r w:rsidRPr="00036A13">
        <w:t xml:space="preserve">, a petición de los productores y de la CONAGUA, por la Universidad Autónoma Chapingo en  el año de 2008, determinó la factibilidad de construir hasta una superficie de 1 ha de invernaderos en la zona. </w:t>
      </w:r>
    </w:p>
    <w:p w:rsidR="005503B4" w:rsidRPr="00036A13" w:rsidRDefault="005503B4" w:rsidP="005503B4">
      <w:r w:rsidRPr="00036A13">
        <w:t>Dado que existe una gran variación de tipos de invernadero, desde los muy rústicos y elementales, de bajo costo relativamente hasta los más modernos, el tipo  propuesto para esta región corresponde a los de alta tecnología con costos altos.</w:t>
      </w:r>
    </w:p>
    <w:p w:rsidR="005503B4" w:rsidRPr="00865705" w:rsidRDefault="005503B4" w:rsidP="005503B4">
      <w:r w:rsidRPr="00865705">
        <w:t>Para determinar el número de 10 invernaderos por construir en un área total hasta de una hectárea se tomó en consideración la distribución del beneficio entre varios productores y la reducción de los montos de inversión por productor y la adquisición paulatina de la experiencia en este tipo de producción y comercialización.</w:t>
      </w:r>
    </w:p>
    <w:p w:rsidR="005503B4" w:rsidRDefault="005503B4" w:rsidP="005503B4">
      <w:pPr>
        <w:rPr>
          <w:b/>
          <w:bCs/>
          <w:lang w:eastAsia="en-US"/>
        </w:rPr>
      </w:pPr>
      <w:r w:rsidRPr="00061776">
        <w:rPr>
          <w:lang w:eastAsia="en-US"/>
        </w:rPr>
        <w:t>Por otra parte los</w:t>
      </w:r>
      <w:r>
        <w:rPr>
          <w:lang w:eastAsia="en-US"/>
        </w:rPr>
        <w:t xml:space="preserve"> apoyos oficiales para este tipo de agricultura considerados en el Programa de Modernización y Tecnificación de las Unidades de Riego dentro del marco de la Alianza para el campo son limitados en cuanto a montos máximos por hectárea y por productor.</w:t>
      </w:r>
      <w:r w:rsidRPr="00126936">
        <w:rPr>
          <w:b/>
          <w:bCs/>
          <w:lang w:eastAsia="en-US"/>
        </w:rPr>
        <w:t xml:space="preserve"> </w:t>
      </w:r>
    </w:p>
    <w:p w:rsidR="005503B4" w:rsidRPr="001A7174" w:rsidRDefault="005503B4" w:rsidP="005503B4">
      <w:pPr>
        <w:pStyle w:val="Tabla1cap12"/>
        <w:ind w:left="56" w:firstLine="10"/>
        <w:rPr>
          <w:lang w:val="es-MX"/>
        </w:rPr>
      </w:pPr>
      <w:bookmarkStart w:id="187" w:name="_Toc273962890"/>
      <w:r w:rsidRPr="001A7174">
        <w:rPr>
          <w:lang w:val="es-MX"/>
        </w:rPr>
        <w:t>Apoyos para Agricultura Controlada de Bajo Consumo de Agua de acuerdo al manual de operación del programa de modernización y tecnificación de unidades de riego</w:t>
      </w:r>
      <w:bookmarkEnd w:id="187"/>
    </w:p>
    <w:tbl>
      <w:tblPr>
        <w:tblW w:w="0" w:type="auto"/>
        <w:jc w:val="center"/>
        <w:tblBorders>
          <w:top w:val="single" w:sz="12" w:space="0" w:color="008000"/>
          <w:bottom w:val="single" w:sz="12" w:space="0" w:color="008000"/>
        </w:tblBorders>
        <w:tblLayout w:type="fixed"/>
        <w:tblLook w:val="0000"/>
      </w:tblPr>
      <w:tblGrid>
        <w:gridCol w:w="3060"/>
        <w:gridCol w:w="2250"/>
        <w:gridCol w:w="2610"/>
      </w:tblGrid>
      <w:tr w:rsidR="005503B4" w:rsidRPr="00B6708B" w:rsidTr="000E30F2">
        <w:trPr>
          <w:trHeight w:val="286"/>
          <w:jc w:val="center"/>
        </w:trPr>
        <w:tc>
          <w:tcPr>
            <w:tcW w:w="3060" w:type="dxa"/>
            <w:tcBorders>
              <w:top w:val="single" w:sz="12" w:space="0" w:color="008000"/>
              <w:bottom w:val="single" w:sz="8" w:space="0" w:color="008000"/>
            </w:tcBorders>
            <w:shd w:val="clear" w:color="auto" w:fill="auto"/>
            <w:vAlign w:val="center"/>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Tenencia de la Tierra (ha/usuario)</w:t>
            </w:r>
          </w:p>
        </w:tc>
        <w:tc>
          <w:tcPr>
            <w:tcW w:w="2250" w:type="dxa"/>
            <w:tcBorders>
              <w:top w:val="single" w:sz="12" w:space="0" w:color="008000"/>
              <w:bottom w:val="single" w:sz="8" w:space="0" w:color="008000"/>
            </w:tcBorders>
            <w:shd w:val="clear" w:color="auto" w:fill="auto"/>
            <w:vAlign w:val="center"/>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 de la inversión</w:t>
            </w:r>
          </w:p>
        </w:tc>
        <w:tc>
          <w:tcPr>
            <w:tcW w:w="2610" w:type="dxa"/>
            <w:tcBorders>
              <w:top w:val="single" w:sz="12" w:space="0" w:color="008000"/>
              <w:bottom w:val="single" w:sz="8" w:space="0" w:color="008000"/>
            </w:tcBorders>
            <w:shd w:val="clear" w:color="auto" w:fill="auto"/>
            <w:vAlign w:val="center"/>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Con un apoyo máximo de CONAGUA hasta por ($)</w:t>
            </w:r>
          </w:p>
        </w:tc>
      </w:tr>
      <w:tr w:rsidR="005503B4" w:rsidRPr="00B6708B" w:rsidTr="000E30F2">
        <w:trPr>
          <w:trHeight w:val="103"/>
          <w:jc w:val="center"/>
        </w:trPr>
        <w:tc>
          <w:tcPr>
            <w:tcW w:w="3060" w:type="dxa"/>
            <w:tcBorders>
              <w:top w:val="single" w:sz="8" w:space="0" w:color="008000"/>
            </w:tcBorders>
            <w:shd w:val="clear" w:color="auto" w:fill="auto"/>
          </w:tcPr>
          <w:p w:rsidR="005503B4" w:rsidRPr="00B6708B" w:rsidRDefault="005503B4" w:rsidP="000E30F2">
            <w:pPr>
              <w:autoSpaceDE w:val="0"/>
              <w:autoSpaceDN w:val="0"/>
              <w:adjustRightInd w:val="0"/>
              <w:spacing w:after="0"/>
              <w:ind w:firstLine="0"/>
              <w:jc w:val="left"/>
              <w:rPr>
                <w:rFonts w:cs="Arial"/>
                <w:sz w:val="20"/>
                <w:lang w:eastAsia="en-US"/>
              </w:rPr>
            </w:pPr>
            <w:r w:rsidRPr="00B6708B">
              <w:rPr>
                <w:rFonts w:cs="Arial"/>
                <w:sz w:val="20"/>
                <w:lang w:eastAsia="en-US"/>
              </w:rPr>
              <w:t xml:space="preserve">Hasta 0.25 </w:t>
            </w:r>
          </w:p>
        </w:tc>
        <w:tc>
          <w:tcPr>
            <w:tcW w:w="2250" w:type="dxa"/>
            <w:tcBorders>
              <w:top w:val="single" w:sz="8" w:space="0" w:color="008000"/>
            </w:tcBorders>
            <w:shd w:val="clear" w:color="auto" w:fill="auto"/>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90</w:t>
            </w:r>
          </w:p>
        </w:tc>
        <w:tc>
          <w:tcPr>
            <w:tcW w:w="2610" w:type="dxa"/>
            <w:tcBorders>
              <w:top w:val="single" w:sz="8" w:space="0" w:color="008000"/>
            </w:tcBorders>
            <w:shd w:val="clear" w:color="auto" w:fill="auto"/>
          </w:tcPr>
          <w:p w:rsidR="005503B4" w:rsidRPr="00B6708B" w:rsidRDefault="005503B4" w:rsidP="000E30F2">
            <w:pPr>
              <w:autoSpaceDE w:val="0"/>
              <w:autoSpaceDN w:val="0"/>
              <w:adjustRightInd w:val="0"/>
              <w:spacing w:after="0"/>
              <w:ind w:firstLine="0"/>
              <w:jc w:val="right"/>
              <w:rPr>
                <w:rFonts w:cs="Arial"/>
                <w:sz w:val="20"/>
                <w:lang w:eastAsia="en-US"/>
              </w:rPr>
            </w:pPr>
            <w:r w:rsidRPr="00B6708B">
              <w:rPr>
                <w:rFonts w:cs="Arial"/>
                <w:sz w:val="20"/>
                <w:lang w:eastAsia="en-US"/>
              </w:rPr>
              <w:t xml:space="preserve">225,000.00 </w:t>
            </w:r>
          </w:p>
        </w:tc>
      </w:tr>
      <w:tr w:rsidR="005503B4" w:rsidRPr="00B6708B" w:rsidTr="000E30F2">
        <w:trPr>
          <w:trHeight w:val="103"/>
          <w:jc w:val="center"/>
        </w:trPr>
        <w:tc>
          <w:tcPr>
            <w:tcW w:w="3060" w:type="dxa"/>
            <w:shd w:val="clear" w:color="auto" w:fill="auto"/>
          </w:tcPr>
          <w:p w:rsidR="005503B4" w:rsidRPr="00B6708B" w:rsidRDefault="005503B4" w:rsidP="000E30F2">
            <w:pPr>
              <w:autoSpaceDE w:val="0"/>
              <w:autoSpaceDN w:val="0"/>
              <w:adjustRightInd w:val="0"/>
              <w:spacing w:after="0"/>
              <w:ind w:firstLine="0"/>
              <w:jc w:val="left"/>
              <w:rPr>
                <w:rFonts w:cs="Arial"/>
                <w:sz w:val="20"/>
                <w:lang w:eastAsia="en-US"/>
              </w:rPr>
            </w:pPr>
            <w:r w:rsidRPr="00B6708B">
              <w:rPr>
                <w:rFonts w:cs="Arial"/>
                <w:sz w:val="20"/>
                <w:lang w:eastAsia="en-US"/>
              </w:rPr>
              <w:t xml:space="preserve">Mayor de 0.25 y hasta 0.5 </w:t>
            </w:r>
          </w:p>
        </w:tc>
        <w:tc>
          <w:tcPr>
            <w:tcW w:w="2250" w:type="dxa"/>
            <w:shd w:val="clear" w:color="auto" w:fill="auto"/>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80</w:t>
            </w:r>
          </w:p>
        </w:tc>
        <w:tc>
          <w:tcPr>
            <w:tcW w:w="2610" w:type="dxa"/>
            <w:shd w:val="clear" w:color="auto" w:fill="auto"/>
          </w:tcPr>
          <w:p w:rsidR="005503B4" w:rsidRPr="00B6708B" w:rsidRDefault="005503B4" w:rsidP="000E30F2">
            <w:pPr>
              <w:autoSpaceDE w:val="0"/>
              <w:autoSpaceDN w:val="0"/>
              <w:adjustRightInd w:val="0"/>
              <w:spacing w:after="0"/>
              <w:ind w:firstLine="0"/>
              <w:jc w:val="right"/>
              <w:rPr>
                <w:rFonts w:cs="Arial"/>
                <w:sz w:val="20"/>
                <w:lang w:eastAsia="en-US"/>
              </w:rPr>
            </w:pPr>
            <w:r w:rsidRPr="00B6708B">
              <w:rPr>
                <w:rFonts w:cs="Arial"/>
                <w:sz w:val="20"/>
                <w:lang w:eastAsia="en-US"/>
              </w:rPr>
              <w:t xml:space="preserve">400,000.00 </w:t>
            </w:r>
          </w:p>
        </w:tc>
      </w:tr>
      <w:tr w:rsidR="005503B4" w:rsidRPr="00B6708B" w:rsidTr="000E30F2">
        <w:trPr>
          <w:trHeight w:val="103"/>
          <w:jc w:val="center"/>
        </w:trPr>
        <w:tc>
          <w:tcPr>
            <w:tcW w:w="3060" w:type="dxa"/>
            <w:shd w:val="clear" w:color="auto" w:fill="auto"/>
          </w:tcPr>
          <w:p w:rsidR="005503B4" w:rsidRPr="00B6708B" w:rsidRDefault="005503B4" w:rsidP="000E30F2">
            <w:pPr>
              <w:autoSpaceDE w:val="0"/>
              <w:autoSpaceDN w:val="0"/>
              <w:adjustRightInd w:val="0"/>
              <w:spacing w:after="0"/>
              <w:ind w:firstLine="0"/>
              <w:jc w:val="left"/>
              <w:rPr>
                <w:rFonts w:cs="Arial"/>
                <w:sz w:val="20"/>
                <w:lang w:eastAsia="en-US"/>
              </w:rPr>
            </w:pPr>
            <w:r w:rsidRPr="00B6708B">
              <w:rPr>
                <w:rFonts w:cs="Arial"/>
                <w:sz w:val="20"/>
                <w:lang w:eastAsia="en-US"/>
              </w:rPr>
              <w:t xml:space="preserve">Mayor de 0.5 y hasta 1.0 </w:t>
            </w:r>
          </w:p>
        </w:tc>
        <w:tc>
          <w:tcPr>
            <w:tcW w:w="2250" w:type="dxa"/>
            <w:shd w:val="clear" w:color="auto" w:fill="auto"/>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75</w:t>
            </w:r>
          </w:p>
        </w:tc>
        <w:tc>
          <w:tcPr>
            <w:tcW w:w="2610" w:type="dxa"/>
            <w:shd w:val="clear" w:color="auto" w:fill="auto"/>
          </w:tcPr>
          <w:p w:rsidR="005503B4" w:rsidRPr="00B6708B" w:rsidRDefault="005503B4" w:rsidP="000E30F2">
            <w:pPr>
              <w:autoSpaceDE w:val="0"/>
              <w:autoSpaceDN w:val="0"/>
              <w:adjustRightInd w:val="0"/>
              <w:spacing w:after="0"/>
              <w:ind w:firstLine="0"/>
              <w:jc w:val="right"/>
              <w:rPr>
                <w:rFonts w:cs="Arial"/>
                <w:sz w:val="20"/>
                <w:lang w:eastAsia="en-US"/>
              </w:rPr>
            </w:pPr>
            <w:r w:rsidRPr="00B6708B">
              <w:rPr>
                <w:rFonts w:cs="Arial"/>
                <w:sz w:val="20"/>
                <w:lang w:eastAsia="en-US"/>
              </w:rPr>
              <w:t xml:space="preserve">750,000.00 </w:t>
            </w:r>
          </w:p>
        </w:tc>
      </w:tr>
      <w:tr w:rsidR="005503B4" w:rsidRPr="00B6708B" w:rsidTr="000E30F2">
        <w:trPr>
          <w:trHeight w:val="103"/>
          <w:jc w:val="center"/>
        </w:trPr>
        <w:tc>
          <w:tcPr>
            <w:tcW w:w="3060" w:type="dxa"/>
            <w:shd w:val="clear" w:color="auto" w:fill="auto"/>
          </w:tcPr>
          <w:p w:rsidR="005503B4" w:rsidRPr="00B6708B" w:rsidRDefault="005503B4" w:rsidP="000E30F2">
            <w:pPr>
              <w:autoSpaceDE w:val="0"/>
              <w:autoSpaceDN w:val="0"/>
              <w:adjustRightInd w:val="0"/>
              <w:spacing w:after="0"/>
              <w:ind w:firstLine="0"/>
              <w:jc w:val="left"/>
              <w:rPr>
                <w:rFonts w:cs="Arial"/>
                <w:sz w:val="20"/>
                <w:lang w:eastAsia="en-US"/>
              </w:rPr>
            </w:pPr>
            <w:r w:rsidRPr="00B6708B">
              <w:rPr>
                <w:rFonts w:cs="Arial"/>
                <w:sz w:val="20"/>
                <w:lang w:eastAsia="en-US"/>
              </w:rPr>
              <w:t xml:space="preserve">Mayor de 1.0 y hasta 2.0 </w:t>
            </w:r>
          </w:p>
        </w:tc>
        <w:tc>
          <w:tcPr>
            <w:tcW w:w="2250" w:type="dxa"/>
            <w:shd w:val="clear" w:color="auto" w:fill="auto"/>
          </w:tcPr>
          <w:p w:rsidR="005503B4" w:rsidRPr="00B6708B" w:rsidRDefault="005503B4" w:rsidP="000E30F2">
            <w:pPr>
              <w:autoSpaceDE w:val="0"/>
              <w:autoSpaceDN w:val="0"/>
              <w:adjustRightInd w:val="0"/>
              <w:spacing w:after="0"/>
              <w:ind w:firstLine="0"/>
              <w:jc w:val="center"/>
              <w:rPr>
                <w:rFonts w:cs="Arial"/>
                <w:sz w:val="20"/>
                <w:lang w:eastAsia="en-US"/>
              </w:rPr>
            </w:pPr>
            <w:r w:rsidRPr="00B6708B">
              <w:rPr>
                <w:rFonts w:cs="Arial"/>
                <w:sz w:val="20"/>
                <w:lang w:eastAsia="en-US"/>
              </w:rPr>
              <w:t>50</w:t>
            </w:r>
          </w:p>
        </w:tc>
        <w:tc>
          <w:tcPr>
            <w:tcW w:w="2610" w:type="dxa"/>
            <w:shd w:val="clear" w:color="auto" w:fill="auto"/>
          </w:tcPr>
          <w:p w:rsidR="005503B4" w:rsidRPr="00B6708B" w:rsidRDefault="005503B4" w:rsidP="000E30F2">
            <w:pPr>
              <w:autoSpaceDE w:val="0"/>
              <w:autoSpaceDN w:val="0"/>
              <w:adjustRightInd w:val="0"/>
              <w:spacing w:after="0"/>
              <w:ind w:firstLine="0"/>
              <w:jc w:val="right"/>
              <w:rPr>
                <w:rFonts w:cs="Arial"/>
                <w:sz w:val="20"/>
                <w:lang w:eastAsia="en-US"/>
              </w:rPr>
            </w:pPr>
            <w:r w:rsidRPr="00B6708B">
              <w:rPr>
                <w:rFonts w:cs="Arial"/>
                <w:sz w:val="20"/>
                <w:lang w:eastAsia="en-US"/>
              </w:rPr>
              <w:t xml:space="preserve">1´000,000.00 </w:t>
            </w:r>
          </w:p>
        </w:tc>
      </w:tr>
    </w:tbl>
    <w:p w:rsidR="005503B4" w:rsidRDefault="005503B4" w:rsidP="005503B4"/>
    <w:p w:rsidR="005503B4" w:rsidRDefault="005503B4" w:rsidP="005503B4">
      <w:r>
        <w:t xml:space="preserve">Para efectos de referencia, el costo de una hectárea de invernadero ronda </w:t>
      </w:r>
      <w:r w:rsidRPr="00F81FF4">
        <w:t>sobre los 70 MDP,</w:t>
      </w:r>
      <w:r>
        <w:t xml:space="preserve"> de acuerdo a lo establecido por el Plan Director. Este monto es adicional a las necesidades propias de inversión en producción y operación en forma anual, e independiente de otros costos, </w:t>
      </w:r>
      <w:r>
        <w:lastRenderedPageBreak/>
        <w:t>debiendo estar ligada a un programa permanente de capacitación y apoyo tecnológico, así como en aspectos de comercialización.</w:t>
      </w:r>
    </w:p>
    <w:p w:rsidR="000F3AF4" w:rsidRDefault="000F3AF4" w:rsidP="000F3AF4">
      <w:pPr>
        <w:ind w:firstLine="0"/>
      </w:pPr>
      <w:r w:rsidRPr="00EF083B">
        <w:rPr>
          <w:i/>
        </w:rPr>
        <w:t>Línea de acción 1.2.</w:t>
      </w:r>
      <w:r w:rsidR="00500FB9">
        <w:rPr>
          <w:i/>
        </w:rPr>
        <w:t>3</w:t>
      </w:r>
      <w:r w:rsidRPr="00EF083B">
        <w:rPr>
          <w:i/>
        </w:rPr>
        <w:t>.</w:t>
      </w:r>
      <w:r>
        <w:t xml:space="preserve">  Medición</w:t>
      </w:r>
    </w:p>
    <w:p w:rsidR="00D2741F" w:rsidRDefault="00D2741F" w:rsidP="00D2741F">
      <w:r>
        <w:t>La medición de volúmenes además de ser un instrumento de múltiple utilidad básica en el manejo de las aguas subterráneas y en su administración, constituye también un elemento necesario para un manejo eficiente y un control más productivo en el suministro del agua.</w:t>
      </w:r>
    </w:p>
    <w:p w:rsidR="00D2741F" w:rsidRDefault="00D2741F" w:rsidP="00D2741F">
      <w:r>
        <w:t xml:space="preserve">El mejoramiento del uso del agua en el sector agrícola del acuífero HLOP requiere,  entre otras acciones, de una adecuada hidrometría. Conforme a la información inscrita en el registro Público de Derechos de Agua (REPDA), se estima que en el área existen 1,442 aprovechamientos de agua subterránea y de éstos, el 78.2%, es decir 1,128, corresponden al uso agrícola. </w:t>
      </w:r>
    </w:p>
    <w:p w:rsidR="00D2741F" w:rsidRDefault="00D2741F" w:rsidP="00D2741F">
      <w:r>
        <w:t>La Ley de Aguas Nacionales, dispone en su artículo 29, Fracción II, III, XII y XIII, la obligación de los usuarios de poseer dispositivos de medición en todos sus aprovechamientos, no obstante lo anterior, se estima que el 70% de los aprovechamientos registrados, equivalentes a unos 790 pozos agrícolas, carecen de medición. Del resto de aprovechamientos, sólo una mínima porción toma lecturas de manera sistemática.  Es necesario por lo tanto, contar con mecanismos más formales y organizados, para asegurar la colocación y la lectura continúa de los medidores.  Se reconoce que dentro del horizonte de planeación al año 2040, será necesario colocar los medidores y posteriormente darles mantenimiento y reponerlos conforme alcancen su vida útil.</w:t>
      </w:r>
    </w:p>
    <w:p w:rsidR="00D2741F" w:rsidRDefault="00D2741F" w:rsidP="00D2741F">
      <w:r>
        <w:t>Esta acción de mejoramiento de la medición permitirá, además de fomentar la observancia del marco legal en materia de aguas nacionales, disponer de la información básica, consistente y confiable, en tiempo real e histórico para determinar con mayor precisión la eficiencia en el uso del agua, evaluar el comportamiento geohidrológico, así como apoyar el proceso de toma de decisiones para una mejor administración del recurso.</w:t>
      </w:r>
    </w:p>
    <w:p w:rsidR="00D2741F" w:rsidRDefault="00D2741F" w:rsidP="00D2741F">
      <w:r>
        <w:t xml:space="preserve">El objetivo de esta línea de acción es el establecer las bases para la modernización de la medición a través de la colocación de 790 medidores y la modificación de los trenes de descarga del sector agrícola en los aprovechamientos en el acuífero HLOP. </w:t>
      </w:r>
    </w:p>
    <w:p w:rsidR="00D2741F" w:rsidRDefault="008011C2" w:rsidP="00D2741F">
      <w:pPr>
        <w:pStyle w:val="ecxmsonormal"/>
        <w:shd w:val="clear" w:color="auto" w:fill="FFFFFF"/>
        <w:spacing w:before="60" w:after="120"/>
        <w:ind w:firstLine="284"/>
        <w:jc w:val="both"/>
        <w:rPr>
          <w:rFonts w:ascii="Arial" w:hAnsi="Arial" w:cs="Arial"/>
          <w:sz w:val="22"/>
          <w:szCs w:val="22"/>
        </w:rPr>
      </w:pPr>
      <w:r>
        <w:rPr>
          <w:rFonts w:ascii="Arial" w:hAnsi="Arial" w:cs="Arial"/>
          <w:noProof/>
          <w:sz w:val="22"/>
          <w:szCs w:val="22"/>
          <w:lang w:val="es-MX" w:eastAsia="es-MX"/>
        </w:rPr>
        <w:drawing>
          <wp:inline distT="0" distB="0" distL="0" distR="0">
            <wp:extent cx="3048000" cy="2028825"/>
            <wp:effectExtent l="19050" t="0" r="0" b="0"/>
            <wp:docPr id="64" name="Imagen 1" descr="C:\1 DURANGO\FOTOS\ROSA DE LA PEÑA-AGRI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2" descr="C:\1 DURANGO\FOTOS\ROSA DE LA PEÑA-AGRI1.JPG"/>
                    <pic:cNvPicPr>
                      <a:picLocks noChangeAspect="1" noChangeArrowheads="1"/>
                    </pic:cNvPicPr>
                  </pic:nvPicPr>
                  <pic:blipFill>
                    <a:blip r:embed="rId87" cstate="print"/>
                    <a:srcRect/>
                    <a:stretch>
                      <a:fillRect/>
                    </a:stretch>
                  </pic:blipFill>
                  <pic:spPr bwMode="auto">
                    <a:xfrm>
                      <a:off x="0" y="0"/>
                      <a:ext cx="3048000" cy="2028825"/>
                    </a:xfrm>
                    <a:prstGeom prst="rect">
                      <a:avLst/>
                    </a:prstGeom>
                    <a:ln>
                      <a:noFill/>
                    </a:ln>
                    <a:effectLst>
                      <a:softEdge rad="112500"/>
                    </a:effectLst>
                  </pic:spPr>
                </pic:pic>
              </a:graphicData>
            </a:graphic>
          </wp:inline>
        </w:drawing>
      </w:r>
      <w:r>
        <w:rPr>
          <w:rFonts w:ascii="Arial" w:hAnsi="Arial" w:cs="Arial"/>
          <w:noProof/>
          <w:sz w:val="22"/>
          <w:szCs w:val="22"/>
          <w:lang w:val="es-MX" w:eastAsia="es-MX"/>
        </w:rPr>
        <w:drawing>
          <wp:inline distT="0" distB="0" distL="0" distR="0">
            <wp:extent cx="2800350" cy="2057400"/>
            <wp:effectExtent l="19050" t="0" r="0" b="0"/>
            <wp:docPr id="65" name="Imagen 2" descr="C:\1 DURANGO\FOTOS\DGO-E-0155-200307-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2" descr="C:\1 DURANGO\FOTOS\DGO-E-0155-200307-2.JPG"/>
                    <pic:cNvPicPr>
                      <a:picLocks noChangeAspect="1" noChangeArrowheads="1"/>
                    </pic:cNvPicPr>
                  </pic:nvPicPr>
                  <pic:blipFill>
                    <a:blip r:embed="rId88" cstate="print"/>
                    <a:srcRect/>
                    <a:stretch>
                      <a:fillRect/>
                    </a:stretch>
                  </pic:blipFill>
                  <pic:spPr>
                    <a:xfrm>
                      <a:off x="0" y="0"/>
                      <a:ext cx="2800350" cy="2057400"/>
                    </a:xfrm>
                    <a:prstGeom prst="rect">
                      <a:avLst/>
                    </a:prstGeom>
                    <a:ln>
                      <a:noFill/>
                    </a:ln>
                    <a:effectLst>
                      <a:softEdge rad="112500"/>
                    </a:effectLst>
                  </pic:spPr>
                </pic:pic>
              </a:graphicData>
            </a:graphic>
          </wp:inline>
        </w:drawing>
      </w:r>
    </w:p>
    <w:p w:rsidR="00D2741F" w:rsidRPr="00D2741F" w:rsidRDefault="00D2741F" w:rsidP="00D2741F">
      <w:r w:rsidRPr="00D2741F">
        <w:lastRenderedPageBreak/>
        <w:t>Por las características especiales de la medición -altos costos de la instalación de medidores y la modificación del tren de descarga para cumplir con la norma oficial, así como llevar y establecer un seguimiento periódico de los volúmenes consumidos-, se considera indispensable el apoyo oficial para ello.</w:t>
      </w:r>
    </w:p>
    <w:p w:rsidR="00D2741F" w:rsidRPr="00D2741F" w:rsidRDefault="00D2741F" w:rsidP="00D2741F">
      <w:r w:rsidRPr="00D2741F">
        <w:t>Los requerimientos de inversión para medición pueden llevarse a cabo bajo un esquema similar al del Programa de Alianza para el Campo (PAC), donde converjan las aportaciones federales, estatales y de productores en los fideicomisos estatales “Fondo de Fomento Agropecuario”, específicamente en el “Programa de Modernización y Tecnificación de Unidades de Riego”.</w:t>
      </w:r>
    </w:p>
    <w:p w:rsidR="00D2741F" w:rsidRPr="00D2741F" w:rsidRDefault="00D2741F" w:rsidP="00D2741F">
      <w:r w:rsidRPr="00D2741F">
        <w:t xml:space="preserve">La  Población Objetivo será la totalidad de aprovechamientos sin medición estimados en 1,009 medidores, correspondiendo 790 de éstos al sector agrícola. </w:t>
      </w:r>
    </w:p>
    <w:p w:rsidR="00D2741F" w:rsidRPr="00D2741F" w:rsidRDefault="00D2741F" w:rsidP="00D2741F">
      <w:r w:rsidRPr="00D2741F">
        <w:t>Para efectos de referencia el costo de instalación de los medidores, incluye la modificación del tren de descarga para cumplir con la norma oficial, se estimó un costo de $36,200 M.N por aprovechamiento.</w:t>
      </w:r>
    </w:p>
    <w:p w:rsidR="00D2741F" w:rsidRPr="0015560A" w:rsidRDefault="00D2741F" w:rsidP="00D2741F">
      <w:pPr>
        <w:pStyle w:val="Tabla1cap12"/>
        <w:ind w:left="56" w:firstLine="10"/>
        <w:rPr>
          <w:lang w:val="es-MX"/>
        </w:rPr>
      </w:pPr>
      <w:bookmarkStart w:id="188" w:name="_Toc273962891"/>
      <w:r w:rsidRPr="0015560A">
        <w:rPr>
          <w:lang w:val="es-MX"/>
        </w:rPr>
        <w:t>Estimación de montos de inversión para la colocación de 1,009 medidores en el mediano plazo</w:t>
      </w:r>
      <w:bookmarkEnd w:id="188"/>
    </w:p>
    <w:tbl>
      <w:tblPr>
        <w:tblW w:w="7373" w:type="dxa"/>
        <w:jc w:val="center"/>
        <w:tblBorders>
          <w:top w:val="single" w:sz="12" w:space="0" w:color="008000"/>
          <w:bottom w:val="single" w:sz="12" w:space="0" w:color="008000"/>
        </w:tblBorders>
        <w:tblLook w:val="04A0"/>
      </w:tblPr>
      <w:tblGrid>
        <w:gridCol w:w="2037"/>
        <w:gridCol w:w="2297"/>
        <w:gridCol w:w="3039"/>
      </w:tblGrid>
      <w:tr w:rsidR="00D2741F" w:rsidRPr="00B6708B" w:rsidTr="000E30F2">
        <w:trPr>
          <w:trHeight w:val="300"/>
          <w:jc w:val="center"/>
        </w:trPr>
        <w:tc>
          <w:tcPr>
            <w:tcW w:w="2037" w:type="dxa"/>
            <w:tcBorders>
              <w:top w:val="single" w:sz="8" w:space="0" w:color="008000"/>
              <w:bottom w:val="nil"/>
            </w:tcBorders>
            <w:shd w:val="clear" w:color="auto" w:fill="auto"/>
            <w:noWrap/>
            <w:hideMark/>
          </w:tcPr>
          <w:p w:rsidR="00D2741F" w:rsidRPr="00B6708B" w:rsidRDefault="00D2741F" w:rsidP="000E30F2">
            <w:pPr>
              <w:spacing w:after="0"/>
              <w:jc w:val="center"/>
              <w:rPr>
                <w:rFonts w:eastAsia="Times New Roman" w:cs="Arial"/>
                <w:color w:val="000000"/>
                <w:sz w:val="20"/>
                <w:lang w:val="en-US"/>
              </w:rPr>
            </w:pPr>
            <w:r w:rsidRPr="00B6708B">
              <w:rPr>
                <w:rFonts w:eastAsia="Times New Roman" w:cs="Arial"/>
                <w:color w:val="000000"/>
                <w:sz w:val="20"/>
                <w:lang w:val="en-US"/>
              </w:rPr>
              <w:t>Sector</w:t>
            </w:r>
          </w:p>
        </w:tc>
        <w:tc>
          <w:tcPr>
            <w:tcW w:w="2297" w:type="dxa"/>
            <w:tcBorders>
              <w:top w:val="single" w:sz="8" w:space="0" w:color="008000"/>
              <w:bottom w:val="single" w:sz="8" w:space="0" w:color="008000"/>
            </w:tcBorders>
            <w:shd w:val="clear" w:color="auto" w:fill="auto"/>
            <w:noWrap/>
            <w:hideMark/>
          </w:tcPr>
          <w:p w:rsidR="00D2741F" w:rsidRPr="00B6708B" w:rsidRDefault="00D2741F" w:rsidP="000E30F2">
            <w:pPr>
              <w:spacing w:after="0"/>
              <w:jc w:val="center"/>
              <w:rPr>
                <w:rFonts w:eastAsia="Times New Roman" w:cs="Arial"/>
                <w:color w:val="000000"/>
                <w:sz w:val="20"/>
              </w:rPr>
            </w:pPr>
            <w:r w:rsidRPr="00B6708B">
              <w:rPr>
                <w:rFonts w:eastAsia="Times New Roman" w:cs="Arial"/>
                <w:color w:val="000000"/>
                <w:sz w:val="20"/>
              </w:rPr>
              <w:t>Aprovechamientos</w:t>
            </w:r>
          </w:p>
        </w:tc>
        <w:tc>
          <w:tcPr>
            <w:tcW w:w="3039" w:type="dxa"/>
            <w:tcBorders>
              <w:top w:val="single" w:sz="8" w:space="0" w:color="008000"/>
              <w:bottom w:val="single" w:sz="8" w:space="0" w:color="008000"/>
            </w:tcBorders>
            <w:shd w:val="clear" w:color="auto" w:fill="auto"/>
          </w:tcPr>
          <w:p w:rsidR="00D2741F" w:rsidRPr="00B6708B" w:rsidRDefault="00D2741F" w:rsidP="000E30F2">
            <w:pPr>
              <w:spacing w:after="0"/>
              <w:jc w:val="center"/>
              <w:rPr>
                <w:rFonts w:eastAsia="Times New Roman" w:cs="Arial"/>
                <w:color w:val="000000"/>
                <w:sz w:val="20"/>
              </w:rPr>
            </w:pPr>
            <w:r w:rsidRPr="00B6708B">
              <w:rPr>
                <w:rFonts w:eastAsia="Times New Roman" w:cs="Arial"/>
                <w:color w:val="000000"/>
                <w:sz w:val="20"/>
              </w:rPr>
              <w:t>Monto ($)</w:t>
            </w:r>
          </w:p>
        </w:tc>
      </w:tr>
      <w:tr w:rsidR="00D2741F" w:rsidRPr="00B6708B" w:rsidTr="000E30F2">
        <w:trPr>
          <w:trHeight w:val="315"/>
          <w:jc w:val="center"/>
        </w:trPr>
        <w:tc>
          <w:tcPr>
            <w:tcW w:w="2037" w:type="dxa"/>
            <w:tcBorders>
              <w:top w:val="single" w:sz="8" w:space="0" w:color="008000"/>
            </w:tcBorders>
            <w:shd w:val="clear" w:color="auto" w:fill="auto"/>
            <w:noWrap/>
            <w:hideMark/>
          </w:tcPr>
          <w:p w:rsidR="00D2741F" w:rsidRPr="00B6708B" w:rsidRDefault="00D2741F" w:rsidP="000E30F2">
            <w:pPr>
              <w:spacing w:after="0"/>
              <w:jc w:val="left"/>
              <w:rPr>
                <w:rFonts w:eastAsia="Times New Roman" w:cs="Arial"/>
                <w:color w:val="000000"/>
                <w:sz w:val="20"/>
              </w:rPr>
            </w:pPr>
            <w:r w:rsidRPr="00B6708B">
              <w:rPr>
                <w:rFonts w:eastAsia="Times New Roman" w:cs="Arial"/>
                <w:color w:val="000000"/>
                <w:sz w:val="20"/>
              </w:rPr>
              <w:t>Agrícola</w:t>
            </w:r>
          </w:p>
        </w:tc>
        <w:tc>
          <w:tcPr>
            <w:tcW w:w="2297" w:type="dxa"/>
            <w:tcBorders>
              <w:top w:val="single" w:sz="8" w:space="0" w:color="008000"/>
            </w:tcBorders>
            <w:shd w:val="clear" w:color="auto" w:fill="auto"/>
            <w:noWrap/>
            <w:hideMark/>
          </w:tcPr>
          <w:p w:rsidR="00D2741F" w:rsidRPr="00B6708B" w:rsidRDefault="00D2741F" w:rsidP="000E30F2">
            <w:pPr>
              <w:spacing w:after="0"/>
              <w:jc w:val="right"/>
              <w:rPr>
                <w:rFonts w:cs="Arial"/>
                <w:bCs/>
                <w:color w:val="000000"/>
                <w:sz w:val="20"/>
              </w:rPr>
            </w:pPr>
            <w:r>
              <w:rPr>
                <w:rFonts w:cs="Arial"/>
                <w:bCs/>
                <w:color w:val="000000"/>
                <w:sz w:val="20"/>
              </w:rPr>
              <w:t>790</w:t>
            </w:r>
          </w:p>
        </w:tc>
        <w:tc>
          <w:tcPr>
            <w:tcW w:w="3039" w:type="dxa"/>
            <w:tcBorders>
              <w:top w:val="single" w:sz="8" w:space="0" w:color="008000"/>
            </w:tcBorders>
            <w:shd w:val="clear" w:color="auto" w:fill="auto"/>
          </w:tcPr>
          <w:p w:rsidR="00D2741F" w:rsidRPr="00B6708B" w:rsidRDefault="00D2741F" w:rsidP="000E30F2">
            <w:pPr>
              <w:spacing w:after="0"/>
              <w:jc w:val="right"/>
              <w:rPr>
                <w:rFonts w:eastAsia="Times New Roman" w:cs="Arial"/>
                <w:color w:val="000000"/>
                <w:sz w:val="20"/>
              </w:rPr>
            </w:pPr>
            <w:r w:rsidRPr="00AB74D6">
              <w:rPr>
                <w:rFonts w:eastAsia="Times New Roman" w:cs="Arial"/>
                <w:color w:val="000000"/>
                <w:sz w:val="20"/>
              </w:rPr>
              <w:t>28</w:t>
            </w:r>
            <w:r>
              <w:rPr>
                <w:rFonts w:eastAsia="Times New Roman" w:cs="Arial"/>
                <w:color w:val="000000"/>
                <w:sz w:val="20"/>
              </w:rPr>
              <w:t>,</w:t>
            </w:r>
            <w:r w:rsidRPr="00AB74D6">
              <w:rPr>
                <w:rFonts w:eastAsia="Times New Roman" w:cs="Arial"/>
                <w:color w:val="000000"/>
                <w:sz w:val="20"/>
              </w:rPr>
              <w:t>598</w:t>
            </w:r>
            <w:r>
              <w:rPr>
                <w:rFonts w:eastAsia="Times New Roman" w:cs="Arial"/>
                <w:color w:val="000000"/>
                <w:sz w:val="20"/>
              </w:rPr>
              <w:t>,</w:t>
            </w:r>
            <w:r w:rsidRPr="00AB74D6">
              <w:rPr>
                <w:rFonts w:eastAsia="Times New Roman" w:cs="Arial"/>
                <w:color w:val="000000"/>
                <w:sz w:val="20"/>
              </w:rPr>
              <w:t>000</w:t>
            </w:r>
          </w:p>
        </w:tc>
      </w:tr>
      <w:tr w:rsidR="00D2741F" w:rsidRPr="00B6708B" w:rsidTr="000E30F2">
        <w:trPr>
          <w:trHeight w:val="277"/>
          <w:jc w:val="center"/>
        </w:trPr>
        <w:tc>
          <w:tcPr>
            <w:tcW w:w="2037" w:type="dxa"/>
            <w:shd w:val="clear" w:color="auto" w:fill="auto"/>
            <w:noWrap/>
            <w:hideMark/>
          </w:tcPr>
          <w:p w:rsidR="00D2741F" w:rsidRPr="00B6708B" w:rsidRDefault="00D2741F" w:rsidP="000E30F2">
            <w:pPr>
              <w:spacing w:after="0"/>
              <w:jc w:val="left"/>
              <w:rPr>
                <w:rFonts w:eastAsia="Times New Roman" w:cs="Arial"/>
                <w:color w:val="000000"/>
                <w:sz w:val="20"/>
              </w:rPr>
            </w:pPr>
            <w:r w:rsidRPr="00B6708B">
              <w:rPr>
                <w:rFonts w:eastAsia="Times New Roman" w:cs="Arial"/>
                <w:color w:val="000000"/>
                <w:sz w:val="20"/>
              </w:rPr>
              <w:t>Público- Urbano</w:t>
            </w:r>
          </w:p>
        </w:tc>
        <w:tc>
          <w:tcPr>
            <w:tcW w:w="2297" w:type="dxa"/>
            <w:shd w:val="clear" w:color="auto" w:fill="auto"/>
            <w:noWrap/>
            <w:hideMark/>
          </w:tcPr>
          <w:p w:rsidR="00D2741F" w:rsidRPr="00B6708B" w:rsidRDefault="00D2741F" w:rsidP="000E30F2">
            <w:pPr>
              <w:spacing w:after="0"/>
              <w:jc w:val="right"/>
              <w:rPr>
                <w:rFonts w:cs="Arial"/>
                <w:bCs/>
                <w:color w:val="000000"/>
                <w:sz w:val="20"/>
              </w:rPr>
            </w:pPr>
            <w:r>
              <w:rPr>
                <w:rFonts w:cs="Arial"/>
                <w:bCs/>
                <w:color w:val="000000"/>
                <w:sz w:val="20"/>
              </w:rPr>
              <w:t>191</w:t>
            </w:r>
          </w:p>
        </w:tc>
        <w:tc>
          <w:tcPr>
            <w:tcW w:w="3039" w:type="dxa"/>
            <w:shd w:val="clear" w:color="auto" w:fill="auto"/>
          </w:tcPr>
          <w:p w:rsidR="00D2741F" w:rsidRPr="00B6708B" w:rsidRDefault="00D2741F" w:rsidP="000E30F2">
            <w:pPr>
              <w:spacing w:after="0"/>
              <w:jc w:val="right"/>
              <w:rPr>
                <w:rFonts w:eastAsia="Times New Roman" w:cs="Arial"/>
                <w:color w:val="000000"/>
                <w:sz w:val="20"/>
              </w:rPr>
            </w:pPr>
            <w:r w:rsidRPr="001B3AE0">
              <w:rPr>
                <w:rFonts w:eastAsia="Times New Roman" w:cs="Arial"/>
                <w:color w:val="000000"/>
                <w:sz w:val="20"/>
              </w:rPr>
              <w:t>6</w:t>
            </w:r>
            <w:r>
              <w:rPr>
                <w:rFonts w:eastAsia="Times New Roman" w:cs="Arial"/>
                <w:color w:val="000000"/>
                <w:sz w:val="20"/>
              </w:rPr>
              <w:t>,</w:t>
            </w:r>
            <w:r w:rsidRPr="001B3AE0">
              <w:rPr>
                <w:rFonts w:eastAsia="Times New Roman" w:cs="Arial"/>
                <w:color w:val="000000"/>
                <w:sz w:val="20"/>
              </w:rPr>
              <w:t>914</w:t>
            </w:r>
            <w:r>
              <w:rPr>
                <w:rFonts w:eastAsia="Times New Roman" w:cs="Arial"/>
                <w:color w:val="000000"/>
                <w:sz w:val="20"/>
              </w:rPr>
              <w:t>,</w:t>
            </w:r>
            <w:r w:rsidRPr="001B3AE0">
              <w:rPr>
                <w:rFonts w:eastAsia="Times New Roman" w:cs="Arial"/>
                <w:color w:val="000000"/>
                <w:sz w:val="20"/>
              </w:rPr>
              <w:t>200</w:t>
            </w:r>
          </w:p>
        </w:tc>
      </w:tr>
      <w:tr w:rsidR="00D2741F" w:rsidRPr="00B6708B" w:rsidTr="000E30F2">
        <w:trPr>
          <w:trHeight w:val="315"/>
          <w:jc w:val="center"/>
        </w:trPr>
        <w:tc>
          <w:tcPr>
            <w:tcW w:w="2037" w:type="dxa"/>
            <w:shd w:val="clear" w:color="auto" w:fill="auto"/>
            <w:noWrap/>
            <w:hideMark/>
          </w:tcPr>
          <w:p w:rsidR="00D2741F" w:rsidRPr="00B6708B" w:rsidRDefault="00D2741F" w:rsidP="000E30F2">
            <w:pPr>
              <w:spacing w:after="0"/>
              <w:jc w:val="left"/>
              <w:rPr>
                <w:rFonts w:eastAsia="Times New Roman" w:cs="Arial"/>
                <w:color w:val="000000"/>
                <w:sz w:val="20"/>
              </w:rPr>
            </w:pPr>
            <w:r w:rsidRPr="00B6708B">
              <w:rPr>
                <w:rFonts w:eastAsia="Times New Roman" w:cs="Arial"/>
                <w:color w:val="000000"/>
                <w:sz w:val="20"/>
              </w:rPr>
              <w:t>Otros</w:t>
            </w:r>
          </w:p>
        </w:tc>
        <w:tc>
          <w:tcPr>
            <w:tcW w:w="2297" w:type="dxa"/>
            <w:shd w:val="clear" w:color="auto" w:fill="auto"/>
            <w:noWrap/>
            <w:hideMark/>
          </w:tcPr>
          <w:p w:rsidR="00D2741F" w:rsidRPr="00B6708B" w:rsidRDefault="00D2741F" w:rsidP="000E30F2">
            <w:pPr>
              <w:spacing w:after="0"/>
              <w:jc w:val="right"/>
              <w:rPr>
                <w:rFonts w:cs="Arial"/>
                <w:bCs/>
                <w:color w:val="000000"/>
                <w:sz w:val="20"/>
              </w:rPr>
            </w:pPr>
            <w:r w:rsidRPr="00B6708B">
              <w:rPr>
                <w:rFonts w:cs="Arial"/>
                <w:bCs/>
                <w:color w:val="000000"/>
                <w:sz w:val="20"/>
              </w:rPr>
              <w:t>29</w:t>
            </w:r>
          </w:p>
        </w:tc>
        <w:tc>
          <w:tcPr>
            <w:tcW w:w="3039" w:type="dxa"/>
            <w:shd w:val="clear" w:color="auto" w:fill="auto"/>
          </w:tcPr>
          <w:p w:rsidR="00D2741F" w:rsidRPr="00B6708B" w:rsidRDefault="00D2741F" w:rsidP="000E30F2">
            <w:pPr>
              <w:spacing w:after="0"/>
              <w:jc w:val="right"/>
              <w:rPr>
                <w:rFonts w:eastAsia="Times New Roman" w:cs="Arial"/>
                <w:color w:val="000000"/>
                <w:sz w:val="20"/>
              </w:rPr>
            </w:pPr>
            <w:r w:rsidRPr="00B6708B">
              <w:rPr>
                <w:rFonts w:eastAsia="Times New Roman" w:cs="Arial"/>
                <w:color w:val="000000"/>
                <w:sz w:val="20"/>
              </w:rPr>
              <w:t>1,049,800</w:t>
            </w:r>
          </w:p>
        </w:tc>
      </w:tr>
      <w:tr w:rsidR="00D2741F" w:rsidRPr="00B6708B" w:rsidTr="000E30F2">
        <w:trPr>
          <w:trHeight w:val="315"/>
          <w:jc w:val="center"/>
        </w:trPr>
        <w:tc>
          <w:tcPr>
            <w:tcW w:w="2037" w:type="dxa"/>
            <w:shd w:val="clear" w:color="auto" w:fill="auto"/>
            <w:noWrap/>
            <w:hideMark/>
          </w:tcPr>
          <w:p w:rsidR="00D2741F" w:rsidRPr="00B6708B" w:rsidRDefault="00D2741F" w:rsidP="000E30F2">
            <w:pPr>
              <w:spacing w:after="0"/>
              <w:jc w:val="left"/>
              <w:rPr>
                <w:rFonts w:eastAsia="Times New Roman" w:cs="Arial"/>
                <w:b/>
                <w:color w:val="000000"/>
                <w:sz w:val="20"/>
              </w:rPr>
            </w:pPr>
            <w:r w:rsidRPr="00B6708B">
              <w:rPr>
                <w:rFonts w:eastAsia="Times New Roman" w:cs="Arial"/>
                <w:color w:val="000000"/>
                <w:sz w:val="20"/>
              </w:rPr>
              <w:t> </w:t>
            </w:r>
            <w:r w:rsidRPr="00B6708B">
              <w:rPr>
                <w:rFonts w:eastAsia="Times New Roman" w:cs="Arial"/>
                <w:b/>
                <w:color w:val="000000"/>
                <w:sz w:val="20"/>
              </w:rPr>
              <w:t>Total</w:t>
            </w:r>
          </w:p>
        </w:tc>
        <w:tc>
          <w:tcPr>
            <w:tcW w:w="2297" w:type="dxa"/>
            <w:shd w:val="clear" w:color="auto" w:fill="auto"/>
            <w:noWrap/>
            <w:hideMark/>
          </w:tcPr>
          <w:p w:rsidR="00D2741F" w:rsidRPr="00B6708B" w:rsidRDefault="00D2741F" w:rsidP="000E30F2">
            <w:pPr>
              <w:spacing w:after="0"/>
              <w:jc w:val="right"/>
              <w:rPr>
                <w:rFonts w:cs="Arial"/>
                <w:b/>
                <w:bCs/>
                <w:color w:val="000000"/>
                <w:sz w:val="20"/>
              </w:rPr>
            </w:pPr>
            <w:r>
              <w:rPr>
                <w:rFonts w:cs="Arial"/>
                <w:b/>
                <w:bCs/>
                <w:color w:val="000000"/>
                <w:sz w:val="20"/>
              </w:rPr>
              <w:t>1,009</w:t>
            </w:r>
          </w:p>
        </w:tc>
        <w:tc>
          <w:tcPr>
            <w:tcW w:w="3039" w:type="dxa"/>
            <w:shd w:val="clear" w:color="auto" w:fill="auto"/>
          </w:tcPr>
          <w:p w:rsidR="00D2741F" w:rsidRPr="00B6708B" w:rsidRDefault="00D2741F" w:rsidP="000E30F2">
            <w:pPr>
              <w:spacing w:after="0"/>
              <w:jc w:val="right"/>
              <w:rPr>
                <w:rFonts w:eastAsia="Times New Roman" w:cs="Arial"/>
                <w:b/>
                <w:color w:val="000000"/>
                <w:sz w:val="20"/>
              </w:rPr>
            </w:pPr>
            <w:r w:rsidRPr="001B3AE0">
              <w:rPr>
                <w:rFonts w:eastAsia="Times New Roman" w:cs="Arial"/>
                <w:b/>
                <w:color w:val="000000"/>
                <w:sz w:val="20"/>
              </w:rPr>
              <w:t>36</w:t>
            </w:r>
            <w:r>
              <w:rPr>
                <w:rFonts w:eastAsia="Times New Roman" w:cs="Arial"/>
                <w:b/>
                <w:color w:val="000000"/>
                <w:sz w:val="20"/>
              </w:rPr>
              <w:t>,</w:t>
            </w:r>
            <w:r w:rsidRPr="001B3AE0">
              <w:rPr>
                <w:rFonts w:eastAsia="Times New Roman" w:cs="Arial"/>
                <w:b/>
                <w:color w:val="000000"/>
                <w:sz w:val="20"/>
              </w:rPr>
              <w:t>562</w:t>
            </w:r>
            <w:r>
              <w:rPr>
                <w:rFonts w:eastAsia="Times New Roman" w:cs="Arial"/>
                <w:b/>
                <w:color w:val="000000"/>
                <w:sz w:val="20"/>
              </w:rPr>
              <w:t>,</w:t>
            </w:r>
            <w:r w:rsidRPr="001B3AE0">
              <w:rPr>
                <w:rFonts w:eastAsia="Times New Roman" w:cs="Arial"/>
                <w:b/>
                <w:color w:val="000000"/>
                <w:sz w:val="20"/>
              </w:rPr>
              <w:t>000</w:t>
            </w:r>
          </w:p>
        </w:tc>
      </w:tr>
    </w:tbl>
    <w:p w:rsidR="00D2741F" w:rsidRPr="00D2741F" w:rsidRDefault="00D2741F" w:rsidP="00D2741F"/>
    <w:p w:rsidR="00D2741F" w:rsidRPr="00185E35" w:rsidRDefault="00D2741F" w:rsidP="00D2741F">
      <w:pPr>
        <w:rPr>
          <w:i/>
        </w:rPr>
      </w:pPr>
      <w:r w:rsidRPr="00D2741F">
        <w:rPr>
          <w:i/>
        </w:rPr>
        <w:t>Línea de acción 1.2.4</w:t>
      </w:r>
      <w:r w:rsidRPr="0036383B">
        <w:t>.  Modernización de infraestructura hidroagrícola y reconversión de cultivos según las características de suelos y clima</w:t>
      </w:r>
      <w:r w:rsidRPr="00185E35">
        <w:rPr>
          <w:i/>
        </w:rPr>
        <w:t>.</w:t>
      </w:r>
    </w:p>
    <w:p w:rsidR="00D2741F" w:rsidRDefault="00D2741F" w:rsidP="00D2741F">
      <w:r>
        <w:t xml:space="preserve">Se estima que la demanda actual es del orden de </w:t>
      </w:r>
      <w:r w:rsidRPr="0036383B">
        <w:t>284.1 millones de m</w:t>
      </w:r>
      <w:r w:rsidRPr="0036383B">
        <w:rPr>
          <w:vertAlign w:val="superscript"/>
        </w:rPr>
        <w:t>3</w:t>
      </w:r>
      <w:r w:rsidRPr="0036383B">
        <w:t>,</w:t>
      </w:r>
      <w:r>
        <w:t xml:space="preserve"> superior en un 15.3% al volumen concesionado que es del orden de 246.3 millones de m</w:t>
      </w:r>
      <w:r>
        <w:rPr>
          <w:vertAlign w:val="superscript"/>
        </w:rPr>
        <w:t>3</w:t>
      </w:r>
      <w:r>
        <w:t xml:space="preserve"> anuales. La modernización de la infraestructura hidroagrícola a través de la presurización de los sistemas de riego, busca reducir las demandas de agua sin reducir la superficie regada. Se estima que es posible incrementar la eficiencia de riego actual de un </w:t>
      </w:r>
      <w:r w:rsidRPr="00623A96">
        <w:t>4</w:t>
      </w:r>
      <w:r>
        <w:t>3% hasta e</w:t>
      </w:r>
      <w:r w:rsidRPr="00623A96">
        <w:t>n 57%</w:t>
      </w:r>
      <w:r>
        <w:t xml:space="preserve">. Se estima que estas eficiencias son factibles de obtener, y así lograr que los volúmenes demandados sean menores a los concesionados. </w:t>
      </w:r>
    </w:p>
    <w:p w:rsidR="00D2741F" w:rsidRDefault="00D2741F" w:rsidP="00D2741F">
      <w:r>
        <w:t xml:space="preserve">Esta acción permitirá, que aún cuando se continúe regando  la superficie actual, existirán volúmenes que actualmente se usan en exceso en riego, disponibles o en reserva para abastecer los incrementos futuros de los demás sectores.   </w:t>
      </w:r>
    </w:p>
    <w:p w:rsidR="00D2741F" w:rsidRDefault="00D2741F" w:rsidP="00D2741F">
      <w:r>
        <w:t xml:space="preserve">En los aspectos de tenencia de la tierra y tipo de cultivos establecidos Tlaxcala se encuentra en el extremo más desventajoso, ya que cuenta con la  tenencia de la tierra más baja, el maíz grano, tiene problemas de muy baja productividad, es por mucho el principal cultivo sembrado con un </w:t>
      </w:r>
      <w:r>
        <w:lastRenderedPageBreak/>
        <w:t>60% de la superficie y donde los precios medios rurales son menores.  Puebla por otra parte, cuenta con la mayor proporción, con el 17% de los cultivos perennes.</w:t>
      </w:r>
    </w:p>
    <w:p w:rsidR="00D2741F" w:rsidRDefault="00D2741F" w:rsidP="00D2741F">
      <w:r>
        <w:t>El objetivo de esta línea estratégica es establecer las bases de acción para la modernización de la infraestructura hidroagrícola  a través de la tecnificación del riego de la superficie actualmente en producción, que se encuentra regando por gravedad.</w:t>
      </w:r>
    </w:p>
    <w:p w:rsidR="00D2741F" w:rsidRPr="0036383B" w:rsidRDefault="00D2741F" w:rsidP="0036383B">
      <w:r w:rsidRPr="0036383B">
        <w:t>Aquí resalta la importancia fundamental de la participación estatal en el esquema de la Alianza para el Campo, por un lado administra y dirige el fideicomiso y por otro su aportación  en apoyo a los usuarios que solicitan las obras es determinante para su participación.</w:t>
      </w:r>
    </w:p>
    <w:p w:rsidR="00D2741F" w:rsidRPr="0036383B" w:rsidRDefault="00D2741F" w:rsidP="00D2741F">
      <w:r w:rsidRPr="0036383B">
        <w:t>Para efectos de referencia, el costo de tecnificación por hectárea oscila sobre los $35,000.00 MN, y la superficie por tecnificar del orden de 15,120 ha.</w:t>
      </w:r>
    </w:p>
    <w:p w:rsidR="00D2741F" w:rsidRPr="001A7174" w:rsidRDefault="00D2741F" w:rsidP="00D2741F">
      <w:pPr>
        <w:pStyle w:val="Tabla1cap12"/>
        <w:ind w:left="56" w:firstLine="10"/>
        <w:rPr>
          <w:lang w:val="es-MX"/>
        </w:rPr>
      </w:pPr>
      <w:bookmarkStart w:id="189" w:name="_Toc273962893"/>
      <w:r w:rsidRPr="001A7174">
        <w:rPr>
          <w:lang w:val="es-MX"/>
        </w:rPr>
        <w:t>Estimación de montos de inversión considerando superficie de riego estable en un escenario de máxima tecnificación, en el largo plazo (más de 10 años)</w:t>
      </w:r>
      <w:bookmarkEnd w:id="189"/>
    </w:p>
    <w:tbl>
      <w:tblPr>
        <w:tblW w:w="5441" w:type="dxa"/>
        <w:jc w:val="center"/>
        <w:tblBorders>
          <w:top w:val="single" w:sz="12" w:space="0" w:color="008000"/>
          <w:bottom w:val="single" w:sz="12" w:space="0" w:color="008000"/>
        </w:tblBorders>
        <w:tblLook w:val="04A0"/>
      </w:tblPr>
      <w:tblGrid>
        <w:gridCol w:w="1755"/>
        <w:gridCol w:w="1560"/>
        <w:gridCol w:w="2126"/>
      </w:tblGrid>
      <w:tr w:rsidR="00D2741F" w:rsidRPr="00F81FF4" w:rsidTr="000E30F2">
        <w:trPr>
          <w:trHeight w:val="20"/>
          <w:jc w:val="center"/>
        </w:trPr>
        <w:tc>
          <w:tcPr>
            <w:tcW w:w="1755" w:type="dxa"/>
            <w:tcBorders>
              <w:top w:val="single" w:sz="8" w:space="0" w:color="008000"/>
              <w:bottom w:val="single" w:sz="8" w:space="0" w:color="008000"/>
            </w:tcBorders>
            <w:shd w:val="clear" w:color="auto" w:fill="auto"/>
            <w:noWrap/>
            <w:hideMark/>
          </w:tcPr>
          <w:p w:rsidR="00D2741F" w:rsidRPr="00F81FF4" w:rsidRDefault="00D2741F" w:rsidP="000E30F2">
            <w:pPr>
              <w:spacing w:before="20" w:after="20" w:line="240" w:lineRule="auto"/>
              <w:jc w:val="center"/>
              <w:rPr>
                <w:rFonts w:eastAsia="Times New Roman" w:cs="Arial"/>
              </w:rPr>
            </w:pPr>
            <w:r w:rsidRPr="00F81FF4">
              <w:rPr>
                <w:rFonts w:eastAsia="Times New Roman" w:cs="Arial"/>
              </w:rPr>
              <w:t>Estado</w:t>
            </w:r>
          </w:p>
        </w:tc>
        <w:tc>
          <w:tcPr>
            <w:tcW w:w="1560" w:type="dxa"/>
            <w:tcBorders>
              <w:top w:val="single" w:sz="8" w:space="0" w:color="008000"/>
              <w:bottom w:val="single" w:sz="8" w:space="0" w:color="008000"/>
            </w:tcBorders>
            <w:shd w:val="clear" w:color="auto" w:fill="auto"/>
            <w:noWrap/>
            <w:hideMark/>
          </w:tcPr>
          <w:p w:rsidR="00D2741F" w:rsidRPr="00F81FF4" w:rsidRDefault="00D2741F" w:rsidP="000E30F2">
            <w:pPr>
              <w:spacing w:before="20" w:after="20" w:line="240" w:lineRule="auto"/>
              <w:jc w:val="center"/>
              <w:rPr>
                <w:rFonts w:eastAsia="Times New Roman" w:cs="Arial"/>
              </w:rPr>
            </w:pPr>
            <w:r w:rsidRPr="00F81FF4">
              <w:rPr>
                <w:rFonts w:eastAsia="Times New Roman" w:cs="Arial"/>
              </w:rPr>
              <w:t>Ha</w:t>
            </w:r>
          </w:p>
        </w:tc>
        <w:tc>
          <w:tcPr>
            <w:tcW w:w="2126" w:type="dxa"/>
            <w:tcBorders>
              <w:top w:val="single" w:sz="8" w:space="0" w:color="008000"/>
              <w:bottom w:val="single" w:sz="8" w:space="0" w:color="008000"/>
            </w:tcBorders>
            <w:shd w:val="clear" w:color="auto" w:fill="auto"/>
          </w:tcPr>
          <w:p w:rsidR="00D2741F" w:rsidRPr="00F81FF4" w:rsidRDefault="00D2741F" w:rsidP="000E30F2">
            <w:pPr>
              <w:spacing w:before="20" w:after="20" w:line="240" w:lineRule="auto"/>
              <w:jc w:val="center"/>
              <w:rPr>
                <w:rFonts w:eastAsia="Times New Roman" w:cs="Arial"/>
              </w:rPr>
            </w:pPr>
            <w:r w:rsidRPr="00F81FF4">
              <w:rPr>
                <w:rFonts w:eastAsia="Times New Roman" w:cs="Arial"/>
              </w:rPr>
              <w:t>Monto ($)</w:t>
            </w:r>
          </w:p>
        </w:tc>
      </w:tr>
      <w:tr w:rsidR="00D2741F" w:rsidRPr="00F81FF4" w:rsidTr="000E30F2">
        <w:trPr>
          <w:trHeight w:val="20"/>
          <w:jc w:val="center"/>
        </w:trPr>
        <w:tc>
          <w:tcPr>
            <w:tcW w:w="1755" w:type="dxa"/>
            <w:tcBorders>
              <w:top w:val="single" w:sz="8" w:space="0" w:color="008000"/>
            </w:tcBorders>
            <w:shd w:val="clear" w:color="auto" w:fill="auto"/>
            <w:noWrap/>
            <w:hideMark/>
          </w:tcPr>
          <w:p w:rsidR="00D2741F" w:rsidRPr="00F81FF4" w:rsidRDefault="00D2741F" w:rsidP="000E30F2">
            <w:pPr>
              <w:spacing w:before="20" w:after="20" w:line="240" w:lineRule="auto"/>
              <w:jc w:val="left"/>
              <w:rPr>
                <w:rFonts w:eastAsia="Times New Roman" w:cs="Arial"/>
              </w:rPr>
            </w:pPr>
            <w:r w:rsidRPr="00F81FF4">
              <w:rPr>
                <w:rFonts w:eastAsia="Times New Roman" w:cs="Arial"/>
              </w:rPr>
              <w:t>Puebla </w:t>
            </w:r>
          </w:p>
        </w:tc>
        <w:tc>
          <w:tcPr>
            <w:tcW w:w="1560" w:type="dxa"/>
            <w:tcBorders>
              <w:top w:val="single" w:sz="8" w:space="0" w:color="008000"/>
            </w:tcBorders>
            <w:shd w:val="clear" w:color="auto" w:fill="auto"/>
            <w:noWrap/>
            <w:hideMark/>
          </w:tcPr>
          <w:p w:rsidR="00D2741F" w:rsidRPr="00F81FF4" w:rsidRDefault="00D2741F" w:rsidP="000E30F2">
            <w:pPr>
              <w:spacing w:before="20" w:after="20" w:line="240" w:lineRule="auto"/>
              <w:jc w:val="right"/>
              <w:rPr>
                <w:rFonts w:cs="Arial"/>
                <w:bCs/>
              </w:rPr>
            </w:pPr>
            <w:r w:rsidRPr="00F81FF4">
              <w:rPr>
                <w:rFonts w:cs="Arial"/>
                <w:bCs/>
              </w:rPr>
              <w:t>9,480</w:t>
            </w:r>
          </w:p>
        </w:tc>
        <w:tc>
          <w:tcPr>
            <w:tcW w:w="2126" w:type="dxa"/>
            <w:tcBorders>
              <w:top w:val="single" w:sz="8" w:space="0" w:color="008000"/>
            </w:tcBorders>
            <w:shd w:val="clear" w:color="auto" w:fill="auto"/>
          </w:tcPr>
          <w:p w:rsidR="00D2741F" w:rsidRPr="00F81FF4" w:rsidRDefault="00D2741F" w:rsidP="000E30F2">
            <w:pPr>
              <w:spacing w:before="20" w:after="20" w:line="240" w:lineRule="auto"/>
              <w:jc w:val="right"/>
              <w:rPr>
                <w:rFonts w:eastAsia="Times New Roman" w:cs="Arial"/>
              </w:rPr>
            </w:pPr>
            <w:r w:rsidRPr="00F81FF4">
              <w:rPr>
                <w:rFonts w:eastAsia="Times New Roman" w:cs="Arial"/>
              </w:rPr>
              <w:t>331’800,000</w:t>
            </w:r>
          </w:p>
        </w:tc>
      </w:tr>
      <w:tr w:rsidR="00D2741F" w:rsidRPr="00F81FF4" w:rsidTr="000E30F2">
        <w:trPr>
          <w:trHeight w:val="20"/>
          <w:jc w:val="center"/>
        </w:trPr>
        <w:tc>
          <w:tcPr>
            <w:tcW w:w="1755" w:type="dxa"/>
            <w:tcBorders>
              <w:bottom w:val="nil"/>
            </w:tcBorders>
            <w:shd w:val="clear" w:color="auto" w:fill="auto"/>
            <w:noWrap/>
            <w:hideMark/>
          </w:tcPr>
          <w:p w:rsidR="00D2741F" w:rsidRPr="00F81FF4" w:rsidRDefault="00D2741F" w:rsidP="000E30F2">
            <w:pPr>
              <w:spacing w:before="20" w:after="20" w:line="240" w:lineRule="auto"/>
              <w:jc w:val="left"/>
              <w:rPr>
                <w:rFonts w:eastAsia="Times New Roman" w:cs="Arial"/>
              </w:rPr>
            </w:pPr>
            <w:r w:rsidRPr="00F81FF4">
              <w:rPr>
                <w:rFonts w:eastAsia="Times New Roman" w:cs="Arial"/>
              </w:rPr>
              <w:t>Tlaxcala </w:t>
            </w:r>
          </w:p>
        </w:tc>
        <w:tc>
          <w:tcPr>
            <w:tcW w:w="1560" w:type="dxa"/>
            <w:tcBorders>
              <w:bottom w:val="nil"/>
            </w:tcBorders>
            <w:shd w:val="clear" w:color="auto" w:fill="auto"/>
            <w:noWrap/>
            <w:hideMark/>
          </w:tcPr>
          <w:p w:rsidR="00D2741F" w:rsidRPr="00F81FF4" w:rsidRDefault="00D2741F" w:rsidP="000E30F2">
            <w:pPr>
              <w:spacing w:before="20" w:after="20" w:line="240" w:lineRule="auto"/>
              <w:jc w:val="right"/>
              <w:rPr>
                <w:rFonts w:cs="Arial"/>
                <w:bCs/>
              </w:rPr>
            </w:pPr>
            <w:r w:rsidRPr="00F81FF4">
              <w:rPr>
                <w:rFonts w:cs="Arial"/>
                <w:bCs/>
              </w:rPr>
              <w:t>5,640</w:t>
            </w:r>
          </w:p>
        </w:tc>
        <w:tc>
          <w:tcPr>
            <w:tcW w:w="2126" w:type="dxa"/>
            <w:tcBorders>
              <w:bottom w:val="nil"/>
            </w:tcBorders>
            <w:shd w:val="clear" w:color="auto" w:fill="auto"/>
          </w:tcPr>
          <w:p w:rsidR="00D2741F" w:rsidRPr="00F81FF4" w:rsidRDefault="00D2741F" w:rsidP="000E30F2">
            <w:pPr>
              <w:spacing w:before="20" w:after="20" w:line="240" w:lineRule="auto"/>
              <w:jc w:val="right"/>
              <w:rPr>
                <w:rFonts w:eastAsia="Times New Roman" w:cs="Arial"/>
              </w:rPr>
            </w:pPr>
            <w:r w:rsidRPr="00F81FF4">
              <w:rPr>
                <w:rFonts w:eastAsia="Times New Roman" w:cs="Arial"/>
              </w:rPr>
              <w:t>197,400,000</w:t>
            </w:r>
          </w:p>
        </w:tc>
      </w:tr>
      <w:tr w:rsidR="00D2741F" w:rsidRPr="00F81FF4" w:rsidTr="000E30F2">
        <w:trPr>
          <w:trHeight w:val="20"/>
          <w:jc w:val="center"/>
        </w:trPr>
        <w:tc>
          <w:tcPr>
            <w:tcW w:w="1755" w:type="dxa"/>
            <w:tcBorders>
              <w:top w:val="nil"/>
              <w:bottom w:val="single" w:sz="4" w:space="0" w:color="auto"/>
            </w:tcBorders>
            <w:shd w:val="clear" w:color="auto" w:fill="auto"/>
            <w:noWrap/>
            <w:hideMark/>
          </w:tcPr>
          <w:p w:rsidR="00D2741F" w:rsidRPr="00F81FF4" w:rsidRDefault="00D2741F" w:rsidP="000E30F2">
            <w:pPr>
              <w:spacing w:before="20" w:after="20" w:line="240" w:lineRule="auto"/>
              <w:jc w:val="left"/>
              <w:rPr>
                <w:rFonts w:eastAsia="Times New Roman" w:cs="Arial"/>
              </w:rPr>
            </w:pPr>
            <w:r w:rsidRPr="00F81FF4">
              <w:rPr>
                <w:rFonts w:eastAsia="Times New Roman" w:cs="Arial"/>
              </w:rPr>
              <w:t>Veracruz </w:t>
            </w:r>
          </w:p>
        </w:tc>
        <w:tc>
          <w:tcPr>
            <w:tcW w:w="1560" w:type="dxa"/>
            <w:tcBorders>
              <w:top w:val="nil"/>
              <w:bottom w:val="single" w:sz="4" w:space="0" w:color="auto"/>
            </w:tcBorders>
            <w:shd w:val="clear" w:color="auto" w:fill="auto"/>
            <w:noWrap/>
            <w:hideMark/>
          </w:tcPr>
          <w:p w:rsidR="00D2741F" w:rsidRPr="00F81FF4" w:rsidRDefault="00D2741F" w:rsidP="000E30F2">
            <w:pPr>
              <w:spacing w:before="20" w:after="20" w:line="240" w:lineRule="auto"/>
              <w:jc w:val="right"/>
              <w:rPr>
                <w:rFonts w:cs="Arial"/>
                <w:bCs/>
              </w:rPr>
            </w:pPr>
          </w:p>
        </w:tc>
        <w:tc>
          <w:tcPr>
            <w:tcW w:w="2126" w:type="dxa"/>
            <w:tcBorders>
              <w:top w:val="nil"/>
              <w:bottom w:val="single" w:sz="4" w:space="0" w:color="auto"/>
            </w:tcBorders>
            <w:shd w:val="clear" w:color="auto" w:fill="auto"/>
          </w:tcPr>
          <w:p w:rsidR="00D2741F" w:rsidRPr="00F81FF4" w:rsidRDefault="00D2741F" w:rsidP="000E30F2">
            <w:pPr>
              <w:spacing w:before="20" w:after="20" w:line="240" w:lineRule="auto"/>
              <w:jc w:val="right"/>
              <w:rPr>
                <w:rFonts w:eastAsia="Times New Roman" w:cs="Arial"/>
              </w:rPr>
            </w:pPr>
          </w:p>
        </w:tc>
      </w:tr>
      <w:tr w:rsidR="00D2741F" w:rsidRPr="00F81FF4" w:rsidTr="000E30F2">
        <w:trPr>
          <w:trHeight w:val="20"/>
          <w:jc w:val="center"/>
        </w:trPr>
        <w:tc>
          <w:tcPr>
            <w:tcW w:w="1755" w:type="dxa"/>
            <w:tcBorders>
              <w:top w:val="single" w:sz="4" w:space="0" w:color="auto"/>
            </w:tcBorders>
            <w:shd w:val="clear" w:color="auto" w:fill="auto"/>
            <w:noWrap/>
            <w:hideMark/>
          </w:tcPr>
          <w:p w:rsidR="00D2741F" w:rsidRPr="00F81FF4" w:rsidRDefault="00D2741F" w:rsidP="000E30F2">
            <w:pPr>
              <w:spacing w:before="20" w:after="20" w:line="240" w:lineRule="auto"/>
              <w:jc w:val="left"/>
              <w:rPr>
                <w:rFonts w:eastAsia="Times New Roman" w:cs="Arial"/>
              </w:rPr>
            </w:pPr>
            <w:r w:rsidRPr="00F81FF4">
              <w:rPr>
                <w:rFonts w:eastAsia="Times New Roman" w:cs="Arial"/>
              </w:rPr>
              <w:t> Total</w:t>
            </w:r>
          </w:p>
        </w:tc>
        <w:tc>
          <w:tcPr>
            <w:tcW w:w="1560" w:type="dxa"/>
            <w:tcBorders>
              <w:top w:val="single" w:sz="4" w:space="0" w:color="auto"/>
            </w:tcBorders>
            <w:shd w:val="clear" w:color="auto" w:fill="auto"/>
            <w:noWrap/>
            <w:hideMark/>
          </w:tcPr>
          <w:p w:rsidR="00D2741F" w:rsidRPr="00F81FF4" w:rsidRDefault="00D2741F" w:rsidP="000E30F2">
            <w:pPr>
              <w:spacing w:before="20" w:after="20" w:line="240" w:lineRule="auto"/>
              <w:jc w:val="right"/>
              <w:rPr>
                <w:rFonts w:cs="Arial"/>
                <w:b/>
                <w:bCs/>
              </w:rPr>
            </w:pPr>
            <w:r w:rsidRPr="00F81FF4">
              <w:rPr>
                <w:rFonts w:cs="Arial"/>
                <w:b/>
                <w:bCs/>
              </w:rPr>
              <w:t>15,120</w:t>
            </w:r>
          </w:p>
        </w:tc>
        <w:tc>
          <w:tcPr>
            <w:tcW w:w="2126" w:type="dxa"/>
            <w:tcBorders>
              <w:top w:val="single" w:sz="4" w:space="0" w:color="auto"/>
            </w:tcBorders>
            <w:shd w:val="clear" w:color="auto" w:fill="auto"/>
          </w:tcPr>
          <w:p w:rsidR="00D2741F" w:rsidRPr="00F81FF4" w:rsidRDefault="00D2741F" w:rsidP="000E30F2">
            <w:pPr>
              <w:spacing w:before="20" w:after="20" w:line="240" w:lineRule="auto"/>
              <w:jc w:val="right"/>
              <w:rPr>
                <w:rFonts w:eastAsia="Times New Roman" w:cs="Arial"/>
                <w:b/>
              </w:rPr>
            </w:pPr>
            <w:r w:rsidRPr="00F81FF4">
              <w:rPr>
                <w:rFonts w:eastAsia="Times New Roman" w:cs="Arial"/>
                <w:b/>
              </w:rPr>
              <w:t>529’200,000</w:t>
            </w:r>
          </w:p>
        </w:tc>
      </w:tr>
    </w:tbl>
    <w:p w:rsidR="0036383B" w:rsidRDefault="0036383B" w:rsidP="000F3AF4">
      <w:pPr>
        <w:ind w:firstLine="0"/>
        <w:rPr>
          <w:i/>
        </w:rPr>
      </w:pPr>
    </w:p>
    <w:p w:rsidR="000F3AF4" w:rsidRDefault="000F3AF4" w:rsidP="008011C2">
      <w:pPr>
        <w:ind w:firstLine="0"/>
        <w:outlineLvl w:val="0"/>
      </w:pPr>
      <w:r w:rsidRPr="00EF083B">
        <w:rPr>
          <w:i/>
        </w:rPr>
        <w:t>Línea de acción 1.2.</w:t>
      </w:r>
      <w:r w:rsidR="00D2741F">
        <w:rPr>
          <w:i/>
        </w:rPr>
        <w:t>5</w:t>
      </w:r>
      <w:r w:rsidRPr="00EF083B">
        <w:rPr>
          <w:i/>
        </w:rPr>
        <w:t>.</w:t>
      </w:r>
      <w:r>
        <w:t xml:space="preserve">  Planes Directores</w:t>
      </w:r>
    </w:p>
    <w:p w:rsidR="0036383B" w:rsidRDefault="0036383B" w:rsidP="0036383B">
      <w:r>
        <w:t>Con base en el estudio de la actividad agrícola en cada Distrito de Desarrollo Rural, deben definirse Planes Directores, que a partir de un diagnóstico de la situación del sector agrícola en cada zona, establezca estrategias para mejorar las condiciones productivas, defina programas de inversiones y establezca un programa de acciones para contar con una base logística e informática, necesarios para precisar acciones que beneficien a un mayor número de usuarios agrícolas.  Se considera necesaria la ejecución de cuando menos un Plan Director para cada uno de los tres acuíferos (o cada uno de los Estados) y estos planes habrán de contar con un mecanismo de seguimiento, evaluación y actualización a través de los años siguientes.</w:t>
      </w:r>
    </w:p>
    <w:p w:rsidR="0036383B" w:rsidRDefault="0036383B" w:rsidP="0036383B">
      <w:r w:rsidRPr="00D0301D">
        <w:t>El Plan Director, es el documento que reúne la información básica sobre las acciones necesarias para lograr un mejor uso del agua, también se establece el costo de las accion</w:t>
      </w:r>
      <w:r>
        <w:t>es y su programa de ejecución; a</w:t>
      </w:r>
      <w:r w:rsidRPr="00D0301D">
        <w:t xml:space="preserve">sí mismo, es el marco de referencia para llevar a cabo las inversiones concertadas con los usuarios. </w:t>
      </w:r>
    </w:p>
    <w:p w:rsidR="0036383B" w:rsidRDefault="0036383B" w:rsidP="0036383B">
      <w:r>
        <w:t>En la región del acuífero Huamantla-Libres Oriental-Perote los aspectos productivos y sociales son marcadamente diferentes en cada estado. Mientras que en Veracruz la tenencia de la tierra es la más alta la productividad y tipo de cultivos, hortalizas principalmente,  es donde los ingresos por hectárea son mayores. Tlaxcala por su parte tiene los menores ingresos por unidad de superficie.</w:t>
      </w:r>
    </w:p>
    <w:p w:rsidR="0036383B" w:rsidRPr="0036383B" w:rsidRDefault="0036383B" w:rsidP="0036383B">
      <w:r w:rsidRPr="0036383B">
        <w:lastRenderedPageBreak/>
        <w:t xml:space="preserve">El objetivo de la presente línea de acción es establecer las bases de acción para la elaboración de los Planes Directores que permitan determinar la viabilidad de las inversiones </w:t>
      </w:r>
      <w:proofErr w:type="gramStart"/>
      <w:r w:rsidRPr="0036383B">
        <w:t>del</w:t>
      </w:r>
      <w:proofErr w:type="gramEnd"/>
      <w:r w:rsidRPr="0036383B">
        <w:t xml:space="preserve"> modernización de la infraestructura hidroagrícola,  de la superficie actualmente en producción, y la factibilidad de la ampliación de las áreas de riego.</w:t>
      </w:r>
    </w:p>
    <w:p w:rsidR="0036383B" w:rsidRDefault="0036383B" w:rsidP="0036383B">
      <w:r>
        <w:t>Para efectos de referencia, el costo de elaboración de Plan Director se calculó en 700 mil pesos para cada acuífero, con una necesaria actualización sexenal; no obstante, dado que la zona de Perote cuenta ya con un plan director, se considera un ejercicio menos para la misma.</w:t>
      </w:r>
    </w:p>
    <w:p w:rsidR="0036383B" w:rsidRPr="001A7174" w:rsidRDefault="0036383B" w:rsidP="0036383B">
      <w:pPr>
        <w:pStyle w:val="Tabla1cap12"/>
        <w:ind w:left="56" w:firstLine="10"/>
        <w:rPr>
          <w:lang w:val="es-MX"/>
        </w:rPr>
      </w:pPr>
      <w:bookmarkStart w:id="190" w:name="_Toc273962895"/>
      <w:r w:rsidRPr="001A7174">
        <w:rPr>
          <w:lang w:val="es-MX"/>
        </w:rPr>
        <w:t>Estimación de montos de inversión en Planes Directores</w:t>
      </w:r>
      <w:bookmarkEnd w:id="190"/>
      <w:r w:rsidRPr="001A7174">
        <w:rPr>
          <w:lang w:val="es-MX"/>
        </w:rPr>
        <w:t xml:space="preserve"> </w:t>
      </w:r>
    </w:p>
    <w:tbl>
      <w:tblPr>
        <w:tblW w:w="5441" w:type="dxa"/>
        <w:jc w:val="center"/>
        <w:tblBorders>
          <w:top w:val="single" w:sz="12" w:space="0" w:color="008000"/>
          <w:bottom w:val="single" w:sz="12" w:space="0" w:color="008000"/>
        </w:tblBorders>
        <w:tblLook w:val="04A0"/>
      </w:tblPr>
      <w:tblGrid>
        <w:gridCol w:w="1755"/>
        <w:gridCol w:w="1560"/>
        <w:gridCol w:w="2126"/>
      </w:tblGrid>
      <w:tr w:rsidR="0036383B" w:rsidRPr="00C77F59" w:rsidTr="000E30F2">
        <w:trPr>
          <w:trHeight w:val="20"/>
          <w:jc w:val="center"/>
        </w:trPr>
        <w:tc>
          <w:tcPr>
            <w:tcW w:w="1755" w:type="dxa"/>
            <w:tcBorders>
              <w:bottom w:val="single" w:sz="6" w:space="0" w:color="008000"/>
            </w:tcBorders>
            <w:shd w:val="clear" w:color="auto" w:fill="auto"/>
            <w:noWrap/>
            <w:hideMark/>
          </w:tcPr>
          <w:p w:rsidR="0036383B" w:rsidRPr="00C77F59" w:rsidRDefault="0036383B" w:rsidP="000E30F2">
            <w:pPr>
              <w:spacing w:before="20" w:after="20" w:line="240" w:lineRule="auto"/>
              <w:jc w:val="center"/>
              <w:rPr>
                <w:rFonts w:eastAsia="Times New Roman" w:cs="Arial"/>
                <w:color w:val="000000"/>
                <w:sz w:val="20"/>
              </w:rPr>
            </w:pPr>
            <w:r w:rsidRPr="00C77F59">
              <w:rPr>
                <w:rFonts w:eastAsia="Times New Roman" w:cs="Arial"/>
                <w:color w:val="000000"/>
                <w:sz w:val="20"/>
              </w:rPr>
              <w:t>Estado</w:t>
            </w:r>
          </w:p>
        </w:tc>
        <w:tc>
          <w:tcPr>
            <w:tcW w:w="1560" w:type="dxa"/>
            <w:tcBorders>
              <w:bottom w:val="single" w:sz="6" w:space="0" w:color="008000"/>
            </w:tcBorders>
            <w:shd w:val="clear" w:color="auto" w:fill="auto"/>
            <w:noWrap/>
            <w:hideMark/>
          </w:tcPr>
          <w:p w:rsidR="0036383B" w:rsidRPr="00C77F59" w:rsidRDefault="0036383B" w:rsidP="000E30F2">
            <w:pPr>
              <w:spacing w:before="20" w:after="20" w:line="240" w:lineRule="auto"/>
              <w:jc w:val="center"/>
              <w:rPr>
                <w:rFonts w:eastAsia="Times New Roman" w:cs="Arial"/>
                <w:color w:val="000000"/>
                <w:sz w:val="20"/>
              </w:rPr>
            </w:pPr>
            <w:r>
              <w:rPr>
                <w:rFonts w:eastAsia="Times New Roman" w:cs="Arial"/>
                <w:color w:val="000000"/>
                <w:sz w:val="20"/>
              </w:rPr>
              <w:t>Cantidad</w:t>
            </w:r>
          </w:p>
        </w:tc>
        <w:tc>
          <w:tcPr>
            <w:tcW w:w="2126" w:type="dxa"/>
            <w:tcBorders>
              <w:bottom w:val="single" w:sz="6" w:space="0" w:color="008000"/>
            </w:tcBorders>
            <w:shd w:val="clear" w:color="auto" w:fill="auto"/>
          </w:tcPr>
          <w:p w:rsidR="0036383B" w:rsidRPr="00C77F59" w:rsidRDefault="0036383B" w:rsidP="000E30F2">
            <w:pPr>
              <w:spacing w:before="20" w:after="20" w:line="240" w:lineRule="auto"/>
              <w:jc w:val="center"/>
              <w:rPr>
                <w:rFonts w:eastAsia="Times New Roman" w:cs="Arial"/>
                <w:color w:val="000000"/>
                <w:sz w:val="20"/>
              </w:rPr>
            </w:pPr>
            <w:r>
              <w:rPr>
                <w:rFonts w:eastAsia="Times New Roman" w:cs="Arial"/>
                <w:color w:val="000000"/>
                <w:sz w:val="20"/>
              </w:rPr>
              <w:t>Monto (MDP</w:t>
            </w:r>
            <w:r w:rsidRPr="00C77F59">
              <w:rPr>
                <w:rFonts w:eastAsia="Times New Roman" w:cs="Arial"/>
                <w:color w:val="000000"/>
                <w:sz w:val="20"/>
              </w:rPr>
              <w:t>)</w:t>
            </w:r>
          </w:p>
        </w:tc>
      </w:tr>
      <w:tr w:rsidR="0036383B" w:rsidRPr="00C77F59" w:rsidTr="000E30F2">
        <w:trPr>
          <w:trHeight w:val="20"/>
          <w:jc w:val="center"/>
        </w:trPr>
        <w:tc>
          <w:tcPr>
            <w:tcW w:w="1755" w:type="dxa"/>
            <w:shd w:val="clear" w:color="auto" w:fill="auto"/>
            <w:noWrap/>
            <w:hideMark/>
          </w:tcPr>
          <w:p w:rsidR="0036383B" w:rsidRPr="00C77F59" w:rsidRDefault="0036383B" w:rsidP="000E30F2">
            <w:pPr>
              <w:spacing w:before="20" w:after="20" w:line="240" w:lineRule="auto"/>
              <w:jc w:val="left"/>
              <w:rPr>
                <w:rFonts w:eastAsia="Times New Roman" w:cs="Arial"/>
                <w:color w:val="000000"/>
                <w:sz w:val="20"/>
              </w:rPr>
            </w:pPr>
            <w:r w:rsidRPr="00C77F59">
              <w:rPr>
                <w:rFonts w:eastAsia="Times New Roman" w:cs="Arial"/>
                <w:color w:val="000000"/>
                <w:sz w:val="20"/>
              </w:rPr>
              <w:t>Puebla </w:t>
            </w:r>
          </w:p>
        </w:tc>
        <w:tc>
          <w:tcPr>
            <w:tcW w:w="1560" w:type="dxa"/>
            <w:shd w:val="clear" w:color="auto" w:fill="auto"/>
            <w:noWrap/>
            <w:hideMark/>
          </w:tcPr>
          <w:p w:rsidR="0036383B" w:rsidRPr="00C77F59" w:rsidRDefault="0036383B" w:rsidP="000E30F2">
            <w:pPr>
              <w:spacing w:before="20" w:after="20" w:line="240" w:lineRule="auto"/>
              <w:rPr>
                <w:rFonts w:cs="Arial"/>
                <w:bCs/>
                <w:color w:val="000000"/>
                <w:sz w:val="20"/>
              </w:rPr>
            </w:pPr>
            <w:r>
              <w:rPr>
                <w:rFonts w:cs="Arial"/>
                <w:bCs/>
                <w:color w:val="000000"/>
                <w:sz w:val="20"/>
              </w:rPr>
              <w:t>6</w:t>
            </w:r>
          </w:p>
        </w:tc>
        <w:tc>
          <w:tcPr>
            <w:tcW w:w="2126" w:type="dxa"/>
            <w:shd w:val="clear" w:color="auto" w:fill="auto"/>
          </w:tcPr>
          <w:p w:rsidR="0036383B" w:rsidRPr="00C77F59" w:rsidRDefault="0036383B" w:rsidP="000E30F2">
            <w:pPr>
              <w:spacing w:before="20" w:after="20" w:line="240" w:lineRule="auto"/>
              <w:jc w:val="right"/>
              <w:rPr>
                <w:rFonts w:eastAsia="Times New Roman" w:cs="Arial"/>
                <w:color w:val="000000"/>
                <w:sz w:val="20"/>
              </w:rPr>
            </w:pPr>
            <w:r>
              <w:rPr>
                <w:rFonts w:eastAsia="Times New Roman" w:cs="Arial"/>
                <w:color w:val="000000"/>
                <w:sz w:val="20"/>
              </w:rPr>
              <w:t>4.2</w:t>
            </w:r>
          </w:p>
        </w:tc>
      </w:tr>
      <w:tr w:rsidR="0036383B" w:rsidRPr="00C77F59" w:rsidTr="000E30F2">
        <w:trPr>
          <w:trHeight w:val="20"/>
          <w:jc w:val="center"/>
        </w:trPr>
        <w:tc>
          <w:tcPr>
            <w:tcW w:w="1755" w:type="dxa"/>
            <w:shd w:val="clear" w:color="auto" w:fill="auto"/>
            <w:noWrap/>
            <w:hideMark/>
          </w:tcPr>
          <w:p w:rsidR="0036383B" w:rsidRPr="00C77F59" w:rsidRDefault="0036383B" w:rsidP="000E30F2">
            <w:pPr>
              <w:spacing w:before="20" w:after="20" w:line="240" w:lineRule="auto"/>
              <w:jc w:val="left"/>
              <w:rPr>
                <w:rFonts w:eastAsia="Times New Roman" w:cs="Arial"/>
                <w:color w:val="000000"/>
                <w:sz w:val="20"/>
              </w:rPr>
            </w:pPr>
            <w:r w:rsidRPr="00C77F59">
              <w:rPr>
                <w:rFonts w:eastAsia="Times New Roman" w:cs="Arial"/>
                <w:color w:val="000000"/>
                <w:sz w:val="20"/>
              </w:rPr>
              <w:t>Tlaxcala </w:t>
            </w:r>
          </w:p>
        </w:tc>
        <w:tc>
          <w:tcPr>
            <w:tcW w:w="1560" w:type="dxa"/>
            <w:tcBorders>
              <w:bottom w:val="nil"/>
            </w:tcBorders>
            <w:shd w:val="clear" w:color="auto" w:fill="auto"/>
            <w:noWrap/>
            <w:hideMark/>
          </w:tcPr>
          <w:p w:rsidR="0036383B" w:rsidRPr="00C77F59" w:rsidRDefault="0036383B" w:rsidP="000E30F2">
            <w:pPr>
              <w:spacing w:before="20" w:after="20" w:line="240" w:lineRule="auto"/>
              <w:rPr>
                <w:rFonts w:cs="Arial"/>
                <w:bCs/>
                <w:color w:val="000000"/>
                <w:sz w:val="20"/>
              </w:rPr>
            </w:pPr>
            <w:r>
              <w:rPr>
                <w:rFonts w:cs="Arial"/>
                <w:bCs/>
                <w:color w:val="000000"/>
                <w:sz w:val="20"/>
              </w:rPr>
              <w:t>6</w:t>
            </w:r>
          </w:p>
        </w:tc>
        <w:tc>
          <w:tcPr>
            <w:tcW w:w="2126" w:type="dxa"/>
            <w:tcBorders>
              <w:bottom w:val="nil"/>
            </w:tcBorders>
            <w:shd w:val="clear" w:color="auto" w:fill="auto"/>
          </w:tcPr>
          <w:p w:rsidR="0036383B" w:rsidRPr="00C77F59" w:rsidRDefault="0036383B" w:rsidP="000E30F2">
            <w:pPr>
              <w:spacing w:before="20" w:after="20" w:line="240" w:lineRule="auto"/>
              <w:jc w:val="right"/>
              <w:rPr>
                <w:rFonts w:eastAsia="Times New Roman" w:cs="Arial"/>
                <w:color w:val="000000"/>
                <w:sz w:val="20"/>
              </w:rPr>
            </w:pPr>
            <w:r>
              <w:rPr>
                <w:rFonts w:eastAsia="Times New Roman" w:cs="Arial"/>
                <w:color w:val="000000"/>
                <w:sz w:val="20"/>
              </w:rPr>
              <w:t>4.2</w:t>
            </w:r>
          </w:p>
        </w:tc>
      </w:tr>
      <w:tr w:rsidR="0036383B" w:rsidRPr="00C77F59" w:rsidTr="000E30F2">
        <w:trPr>
          <w:trHeight w:val="20"/>
          <w:jc w:val="center"/>
        </w:trPr>
        <w:tc>
          <w:tcPr>
            <w:tcW w:w="1755" w:type="dxa"/>
            <w:shd w:val="clear" w:color="auto" w:fill="auto"/>
            <w:noWrap/>
            <w:hideMark/>
          </w:tcPr>
          <w:p w:rsidR="0036383B" w:rsidRPr="00C77F59" w:rsidRDefault="0036383B" w:rsidP="000E30F2">
            <w:pPr>
              <w:spacing w:before="20" w:after="20" w:line="240" w:lineRule="auto"/>
              <w:jc w:val="left"/>
              <w:rPr>
                <w:rFonts w:eastAsia="Times New Roman" w:cs="Arial"/>
                <w:color w:val="000000"/>
                <w:sz w:val="20"/>
              </w:rPr>
            </w:pPr>
            <w:r w:rsidRPr="00C77F59">
              <w:rPr>
                <w:rFonts w:eastAsia="Times New Roman" w:cs="Arial"/>
                <w:color w:val="000000"/>
                <w:sz w:val="20"/>
              </w:rPr>
              <w:t>Veracruz </w:t>
            </w:r>
          </w:p>
        </w:tc>
        <w:tc>
          <w:tcPr>
            <w:tcW w:w="1560" w:type="dxa"/>
            <w:tcBorders>
              <w:top w:val="nil"/>
              <w:bottom w:val="single" w:sz="8" w:space="0" w:color="008000"/>
            </w:tcBorders>
            <w:shd w:val="clear" w:color="auto" w:fill="auto"/>
            <w:noWrap/>
            <w:hideMark/>
          </w:tcPr>
          <w:p w:rsidR="0036383B" w:rsidRPr="00C77F59" w:rsidRDefault="0036383B" w:rsidP="000E30F2">
            <w:pPr>
              <w:spacing w:before="20" w:after="20" w:line="240" w:lineRule="auto"/>
              <w:rPr>
                <w:rFonts w:cs="Arial"/>
                <w:bCs/>
                <w:color w:val="000000"/>
                <w:sz w:val="20"/>
              </w:rPr>
            </w:pPr>
            <w:r>
              <w:rPr>
                <w:rFonts w:cs="Arial"/>
                <w:bCs/>
                <w:color w:val="000000"/>
                <w:sz w:val="20"/>
              </w:rPr>
              <w:t>5</w:t>
            </w:r>
          </w:p>
        </w:tc>
        <w:tc>
          <w:tcPr>
            <w:tcW w:w="2126" w:type="dxa"/>
            <w:tcBorders>
              <w:top w:val="nil"/>
              <w:bottom w:val="single" w:sz="8" w:space="0" w:color="008000"/>
            </w:tcBorders>
            <w:shd w:val="clear" w:color="auto" w:fill="auto"/>
          </w:tcPr>
          <w:p w:rsidR="0036383B" w:rsidRPr="00C77F59" w:rsidRDefault="0036383B" w:rsidP="000E30F2">
            <w:pPr>
              <w:spacing w:before="20" w:after="20" w:line="240" w:lineRule="auto"/>
              <w:jc w:val="right"/>
              <w:rPr>
                <w:rFonts w:eastAsia="Times New Roman" w:cs="Arial"/>
                <w:color w:val="000000"/>
                <w:sz w:val="20"/>
              </w:rPr>
            </w:pPr>
            <w:r>
              <w:rPr>
                <w:rFonts w:eastAsia="Times New Roman" w:cs="Arial"/>
                <w:color w:val="000000"/>
                <w:sz w:val="20"/>
              </w:rPr>
              <w:t>3.5</w:t>
            </w:r>
          </w:p>
        </w:tc>
      </w:tr>
      <w:tr w:rsidR="0036383B" w:rsidRPr="00C77F59" w:rsidTr="000E30F2">
        <w:trPr>
          <w:trHeight w:val="20"/>
          <w:jc w:val="center"/>
        </w:trPr>
        <w:tc>
          <w:tcPr>
            <w:tcW w:w="1755" w:type="dxa"/>
            <w:shd w:val="clear" w:color="auto" w:fill="auto"/>
            <w:noWrap/>
            <w:hideMark/>
          </w:tcPr>
          <w:p w:rsidR="0036383B" w:rsidRPr="00C77F59" w:rsidRDefault="0036383B" w:rsidP="000E30F2">
            <w:pPr>
              <w:spacing w:before="20" w:after="20" w:line="240" w:lineRule="auto"/>
              <w:jc w:val="left"/>
              <w:rPr>
                <w:rFonts w:eastAsia="Times New Roman" w:cs="Arial"/>
                <w:color w:val="000000"/>
                <w:sz w:val="20"/>
              </w:rPr>
            </w:pPr>
            <w:r w:rsidRPr="00C77F59">
              <w:rPr>
                <w:rFonts w:eastAsia="Times New Roman" w:cs="Arial"/>
                <w:color w:val="000000"/>
                <w:sz w:val="20"/>
              </w:rPr>
              <w:t> Total</w:t>
            </w:r>
          </w:p>
        </w:tc>
        <w:tc>
          <w:tcPr>
            <w:tcW w:w="1560" w:type="dxa"/>
            <w:tcBorders>
              <w:top w:val="single" w:sz="8" w:space="0" w:color="008000"/>
            </w:tcBorders>
            <w:shd w:val="clear" w:color="auto" w:fill="auto"/>
            <w:noWrap/>
            <w:hideMark/>
          </w:tcPr>
          <w:p w:rsidR="0036383B" w:rsidRPr="00C77F59" w:rsidRDefault="0036383B" w:rsidP="000E30F2">
            <w:pPr>
              <w:spacing w:before="20" w:after="20" w:line="240" w:lineRule="auto"/>
              <w:rPr>
                <w:rFonts w:cs="Arial"/>
                <w:b/>
                <w:bCs/>
                <w:color w:val="000000"/>
                <w:sz w:val="20"/>
              </w:rPr>
            </w:pPr>
            <w:r>
              <w:rPr>
                <w:rFonts w:cs="Arial"/>
                <w:b/>
                <w:bCs/>
                <w:color w:val="000000"/>
                <w:sz w:val="20"/>
              </w:rPr>
              <w:t>17</w:t>
            </w:r>
          </w:p>
        </w:tc>
        <w:tc>
          <w:tcPr>
            <w:tcW w:w="2126" w:type="dxa"/>
            <w:tcBorders>
              <w:top w:val="single" w:sz="8" w:space="0" w:color="008000"/>
            </w:tcBorders>
            <w:shd w:val="clear" w:color="auto" w:fill="auto"/>
          </w:tcPr>
          <w:p w:rsidR="0036383B" w:rsidRPr="00C77F59" w:rsidRDefault="0036383B" w:rsidP="000E30F2">
            <w:pPr>
              <w:spacing w:before="20" w:after="20" w:line="240" w:lineRule="auto"/>
              <w:jc w:val="right"/>
              <w:rPr>
                <w:rFonts w:eastAsia="Times New Roman" w:cs="Arial"/>
                <w:b/>
                <w:color w:val="000000"/>
                <w:sz w:val="20"/>
              </w:rPr>
            </w:pPr>
            <w:r>
              <w:rPr>
                <w:rFonts w:eastAsia="Times New Roman" w:cs="Arial"/>
                <w:b/>
                <w:color w:val="000000"/>
                <w:sz w:val="20"/>
              </w:rPr>
              <w:t>11.9</w:t>
            </w:r>
          </w:p>
        </w:tc>
      </w:tr>
    </w:tbl>
    <w:p w:rsidR="00500FB9" w:rsidRDefault="00500FB9" w:rsidP="000F3AF4">
      <w:pPr>
        <w:ind w:firstLine="0"/>
      </w:pPr>
    </w:p>
    <w:p w:rsidR="000F3AF4" w:rsidRPr="006D1ADE" w:rsidRDefault="000F3AF4" w:rsidP="008011C2">
      <w:pPr>
        <w:ind w:firstLine="0"/>
        <w:outlineLvl w:val="0"/>
      </w:pPr>
      <w:r w:rsidRPr="006D1ADE">
        <w:rPr>
          <w:b/>
        </w:rPr>
        <w:t>Línea Estratégica 2.1.</w:t>
      </w:r>
      <w:r w:rsidRPr="006D1ADE">
        <w:t xml:space="preserve">  Agua potable</w:t>
      </w:r>
    </w:p>
    <w:p w:rsidR="000F3AF4" w:rsidRPr="006D1ADE" w:rsidRDefault="000F3AF4" w:rsidP="000F3AF4">
      <w:pPr>
        <w:ind w:firstLine="0"/>
      </w:pPr>
      <w:r w:rsidRPr="006D1ADE">
        <w:rPr>
          <w:i/>
        </w:rPr>
        <w:t>Línea de acción 2.1.1.</w:t>
      </w:r>
      <w:r w:rsidRPr="006D1ADE">
        <w:t xml:space="preserve">  Establecer programa de agua potable y saneamiento.</w:t>
      </w:r>
    </w:p>
    <w:p w:rsidR="000F3AF4" w:rsidRPr="006D1ADE" w:rsidRDefault="000F3AF4" w:rsidP="006D1ADE">
      <w:r w:rsidRPr="006D1ADE">
        <w:t xml:space="preserve">Para conocer las necesidades que tiene la población en los servicios se deben establecer programas </w:t>
      </w:r>
      <w:proofErr w:type="spellStart"/>
      <w:r w:rsidRPr="006D1ADE">
        <w:t>encamidados</w:t>
      </w:r>
      <w:proofErr w:type="spellEnd"/>
      <w:r w:rsidRPr="006D1ADE">
        <w:t xml:space="preserve"> a tener la información necesaria para ejecutar la ampliación de las redes de agua potable, este programa estará enfocado a desarrollar catastro de la infraestructura, estudios de demanda y padrón de usuarios, optimización de los sistemas operacionales y comerciales. </w:t>
      </w:r>
    </w:p>
    <w:p w:rsidR="000F3AF4" w:rsidRPr="006D1ADE" w:rsidRDefault="000F3AF4" w:rsidP="000F3AF4">
      <w:pPr>
        <w:ind w:firstLine="0"/>
      </w:pPr>
      <w:r w:rsidRPr="006D1ADE">
        <w:rPr>
          <w:i/>
        </w:rPr>
        <w:t>Línea de acción 2.1.2.</w:t>
      </w:r>
      <w:r w:rsidRPr="006D1ADE">
        <w:t xml:space="preserve">  Incremento de cobertura en sistemas de  agua potable</w:t>
      </w:r>
    </w:p>
    <w:p w:rsidR="000F3AF4" w:rsidRPr="006D1ADE" w:rsidRDefault="000F3AF4" w:rsidP="006D1ADE">
      <w:r w:rsidRPr="006D1ADE">
        <w:t>La cobertura actual en el área de estudio es de 89.1% y de alcantarillado es del 66.1%, se requiere la ampliación de los sistemas para cumplir con las metas de llegar al 99% de cobertura en ambos rubros.</w:t>
      </w:r>
    </w:p>
    <w:p w:rsidR="000F3AF4" w:rsidRPr="006D1ADE" w:rsidRDefault="000F3AF4" w:rsidP="000F3AF4">
      <w:pPr>
        <w:pStyle w:val="Tabla1cap12"/>
        <w:spacing w:line="240" w:lineRule="auto"/>
        <w:rPr>
          <w:color w:val="auto"/>
          <w:lang w:val="es-MX"/>
        </w:rPr>
      </w:pPr>
      <w:bookmarkStart w:id="191" w:name="_Toc260123581"/>
      <w:r w:rsidRPr="006D1ADE">
        <w:rPr>
          <w:color w:val="auto"/>
          <w:lang w:val="es-MX"/>
        </w:rPr>
        <w:t>Área de estudio. Cobertura actual de los servicios de Agua Potable y Alcantarillado</w:t>
      </w:r>
      <w:bookmarkEnd w:id="191"/>
    </w:p>
    <w:tbl>
      <w:tblPr>
        <w:tblW w:w="100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1227"/>
        <w:gridCol w:w="1219"/>
        <w:gridCol w:w="1219"/>
        <w:gridCol w:w="1041"/>
        <w:gridCol w:w="992"/>
        <w:gridCol w:w="1134"/>
        <w:gridCol w:w="1418"/>
      </w:tblGrid>
      <w:tr w:rsidR="000F3AF4" w:rsidRPr="006D1ADE" w:rsidTr="009E487D">
        <w:tc>
          <w:tcPr>
            <w:tcW w:w="180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Rango de localidad</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No. de localidades</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Población 2005</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Población 2009</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 AP</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 xml:space="preserve">% </w:t>
            </w:r>
            <w:proofErr w:type="spellStart"/>
            <w:r w:rsidRPr="006D1ADE">
              <w:rPr>
                <w:rFonts w:eastAsia="Calibri"/>
                <w:sz w:val="20"/>
              </w:rPr>
              <w:t>Alc</w:t>
            </w:r>
            <w:proofErr w:type="spellEnd"/>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Viviendas</w:t>
            </w:r>
          </w:p>
        </w:tc>
        <w:tc>
          <w:tcPr>
            <w:tcW w:w="1418" w:type="dxa"/>
          </w:tcPr>
          <w:p w:rsidR="000F3AF4" w:rsidRPr="006D1ADE" w:rsidRDefault="000F3AF4" w:rsidP="009E487D">
            <w:pPr>
              <w:spacing w:before="0" w:after="0" w:line="240" w:lineRule="auto"/>
              <w:ind w:firstLine="0"/>
              <w:jc w:val="center"/>
              <w:rPr>
                <w:rFonts w:eastAsia="Calibri"/>
                <w:sz w:val="20"/>
              </w:rPr>
            </w:pPr>
            <w:proofErr w:type="spellStart"/>
            <w:r w:rsidRPr="006D1ADE">
              <w:rPr>
                <w:rFonts w:eastAsia="Calibri"/>
                <w:sz w:val="20"/>
              </w:rPr>
              <w:t>Indice</w:t>
            </w:r>
            <w:proofErr w:type="spellEnd"/>
            <w:r w:rsidRPr="006D1ADE">
              <w:rPr>
                <w:rFonts w:eastAsia="Calibri"/>
                <w:sz w:val="20"/>
              </w:rPr>
              <w:t xml:space="preserve"> de hacinamiento</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menor a 100</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531</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10,325</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10,631</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44.4%</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27.8%</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1,689</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6.29</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de 100 a 499</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214</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55,271</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57,006</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75.5%</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36.2%</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11,024</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5.17</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de 500 - 999</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107</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77,498</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80,203</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81.6%</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40.4%</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15,503</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5.17</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de 1,000 a 1,999</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73</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100,919</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105,161</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89.9%</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61.2%</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21,127</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4.98</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de 2,000 a 2,499</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16</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35,506</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36,998</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73.2%</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33.5%</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7,154</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5.17</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de 2,500 a 4,999</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23</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78,509</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84,555</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96.6%</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68.5%</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16,852</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5.02</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de 5,000 a 9,999</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13</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90,266</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96,060</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96.7%</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85.3%</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19,722</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4.87</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mayor a 10,000</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176,874</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192,044</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94.0%</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86.7%</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41,613</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4.62</w:t>
            </w:r>
          </w:p>
        </w:tc>
      </w:tr>
      <w:tr w:rsidR="000F3AF4" w:rsidRPr="006D1ADE" w:rsidTr="009E487D">
        <w:tc>
          <w:tcPr>
            <w:tcW w:w="1809" w:type="dxa"/>
          </w:tcPr>
          <w:p w:rsidR="000F3AF4" w:rsidRPr="006D1ADE" w:rsidRDefault="000F3AF4" w:rsidP="009E487D">
            <w:pPr>
              <w:spacing w:before="0" w:after="0" w:line="240" w:lineRule="auto"/>
              <w:ind w:firstLine="0"/>
              <w:rPr>
                <w:rFonts w:eastAsia="Calibri"/>
                <w:sz w:val="20"/>
              </w:rPr>
            </w:pPr>
            <w:r w:rsidRPr="006D1ADE">
              <w:rPr>
                <w:rFonts w:eastAsia="Calibri"/>
                <w:sz w:val="20"/>
              </w:rPr>
              <w:t>total</w:t>
            </w:r>
          </w:p>
        </w:tc>
        <w:tc>
          <w:tcPr>
            <w:tcW w:w="1227"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985</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625,168</w:t>
            </w:r>
          </w:p>
        </w:tc>
        <w:tc>
          <w:tcPr>
            <w:tcW w:w="1219"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662,658</w:t>
            </w:r>
          </w:p>
        </w:tc>
        <w:tc>
          <w:tcPr>
            <w:tcW w:w="1041"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89.1%</w:t>
            </w:r>
          </w:p>
        </w:tc>
        <w:tc>
          <w:tcPr>
            <w:tcW w:w="992"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66.6%</w:t>
            </w:r>
          </w:p>
        </w:tc>
        <w:tc>
          <w:tcPr>
            <w:tcW w:w="1134"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134,684</w:t>
            </w:r>
          </w:p>
        </w:tc>
        <w:tc>
          <w:tcPr>
            <w:tcW w:w="1418" w:type="dxa"/>
          </w:tcPr>
          <w:p w:rsidR="000F3AF4" w:rsidRPr="006D1ADE" w:rsidRDefault="000F3AF4" w:rsidP="009E487D">
            <w:pPr>
              <w:spacing w:before="0" w:after="0" w:line="240" w:lineRule="auto"/>
              <w:ind w:firstLine="0"/>
              <w:jc w:val="center"/>
              <w:rPr>
                <w:rFonts w:eastAsia="Calibri"/>
                <w:sz w:val="20"/>
              </w:rPr>
            </w:pPr>
            <w:r w:rsidRPr="006D1ADE">
              <w:rPr>
                <w:rFonts w:eastAsia="Calibri"/>
                <w:sz w:val="20"/>
              </w:rPr>
              <w:t>4.92</w:t>
            </w:r>
          </w:p>
        </w:tc>
      </w:tr>
    </w:tbl>
    <w:p w:rsidR="000F3AF4" w:rsidRPr="006D1ADE" w:rsidRDefault="000F3AF4" w:rsidP="000F3AF4">
      <w:pPr>
        <w:ind w:firstLine="0"/>
      </w:pPr>
    </w:p>
    <w:p w:rsidR="000F3AF4" w:rsidRPr="006D1ADE" w:rsidRDefault="000F3AF4" w:rsidP="008011C2">
      <w:pPr>
        <w:ind w:firstLine="0"/>
        <w:outlineLvl w:val="0"/>
      </w:pPr>
      <w:r w:rsidRPr="006D1ADE">
        <w:rPr>
          <w:i/>
        </w:rPr>
        <w:lastRenderedPageBreak/>
        <w:t>Línea de acción 2.1.3.</w:t>
      </w:r>
      <w:r w:rsidRPr="006D1ADE">
        <w:t xml:space="preserve">  Mejoría en los sistemas y servicios de agua potable</w:t>
      </w:r>
    </w:p>
    <w:p w:rsidR="000F3AF4" w:rsidRPr="006D1ADE" w:rsidRDefault="000F3AF4" w:rsidP="006D1ADE">
      <w:r w:rsidRPr="006D1ADE">
        <w:t xml:space="preserve">Localización y reparación de fugas en tuberías principales, secundarias y tanques.  Obtener la ubicación de fugas en tuberías de circuitos principales y secundarios (de 2” de diámetro o mayores) y reparar los tramos dañados. La detección y localización de guas en tuberías principales y secundarias se hace con base en la evaluación de fugas por muestreo en distritos hidrométricos, jerarquizando los distritos con mayor incidencia de fugas. Si se trata de fugas visibles, la localización se lleva a cabo con un programa de inspección visual, en cambio, si son fugas ocultas será necesario aplicar técnicas de caída de presión localización con equipos </w:t>
      </w:r>
      <w:proofErr w:type="spellStart"/>
      <w:r w:rsidRPr="006D1ADE">
        <w:t>electroacústicos</w:t>
      </w:r>
      <w:proofErr w:type="spellEnd"/>
      <w:r w:rsidRPr="006D1ADE">
        <w:t xml:space="preserve"> de contacto e indirectos y, en ocasiones, con </w:t>
      </w:r>
      <w:proofErr w:type="spellStart"/>
      <w:r w:rsidRPr="006D1ADE">
        <w:t>correlacionador</w:t>
      </w:r>
      <w:proofErr w:type="spellEnd"/>
      <w:r w:rsidRPr="006D1ADE">
        <w:t xml:space="preserve"> electrónico. La reparación se realiza colocando abrazaderas metálicas en el tramo dañado, también se deben de elaborar las estadísticas respectivas.</w:t>
      </w:r>
    </w:p>
    <w:p w:rsidR="000F3AF4" w:rsidRPr="006D1ADE" w:rsidRDefault="000F3AF4" w:rsidP="008011C2">
      <w:pPr>
        <w:ind w:firstLine="0"/>
        <w:outlineLvl w:val="0"/>
      </w:pPr>
      <w:r w:rsidRPr="006D1ADE">
        <w:rPr>
          <w:b/>
        </w:rPr>
        <w:t>Línea Estratégica 2.2.</w:t>
      </w:r>
      <w:r w:rsidRPr="006D1ADE">
        <w:t xml:space="preserve">  Control de descargas contaminantes</w:t>
      </w:r>
    </w:p>
    <w:p w:rsidR="000F3AF4" w:rsidRPr="006D1ADE" w:rsidRDefault="000F3AF4" w:rsidP="006D1ADE">
      <w:r w:rsidRPr="006D1ADE">
        <w:t>Los organismos operadores son los responsables de cumplir con la normatividad vigente de la norma 001 que señala los límites máximos permisibles para descargas a cuerpos receptores propiedad de la nación,  sin embargo en un hecho que muchos comercios e industrias descargan a los sistemas de alcantarillado sin cumplir con la norma 003, la cual se refiere a los límites máximos permisibles para las descargas a los sistemas de alcantarillado,  así que los organismos operadores deben de contar con padrones de usuarios que además contengan información acerca del contenido de contaminantes que dichos usuarios hacen a los sistemas de vertido.</w:t>
      </w:r>
    </w:p>
    <w:p w:rsidR="000F3AF4" w:rsidRPr="006D1ADE" w:rsidRDefault="000F3AF4" w:rsidP="000F3AF4">
      <w:pPr>
        <w:ind w:firstLine="0"/>
      </w:pPr>
      <w:r w:rsidRPr="006D1ADE">
        <w:rPr>
          <w:i/>
        </w:rPr>
        <w:t>Línea de acción 2.2.1.</w:t>
      </w:r>
      <w:r w:rsidRPr="006D1ADE">
        <w:t xml:space="preserve">  Acciones de prevención a fuentes de contaminación </w:t>
      </w:r>
    </w:p>
    <w:p w:rsidR="000F3AF4" w:rsidRPr="006D1ADE" w:rsidRDefault="000F3AF4" w:rsidP="006D1ADE">
      <w:r w:rsidRPr="006D1ADE">
        <w:t xml:space="preserve">El desarrollo comercial e industrial trae consigo subproductos de sus procesos de </w:t>
      </w:r>
      <w:r w:rsidR="009E487D" w:rsidRPr="006D1ADE">
        <w:t>comercialización</w:t>
      </w:r>
      <w:r w:rsidRPr="006D1ADE">
        <w:t xml:space="preserve"> o producción, así que es necesario en los casos donde los sistemas de tratamiento no sean capaces de  digerir algunos compuestos que las propias industrias sean las responsables de eliminarles y confinarlos antes de descargar a los sistemas de alcantarillado y tratamiento.</w:t>
      </w:r>
    </w:p>
    <w:p w:rsidR="000F3AF4" w:rsidRPr="006D1ADE" w:rsidRDefault="000F3AF4" w:rsidP="000F3AF4">
      <w:pPr>
        <w:ind w:firstLine="0"/>
      </w:pPr>
      <w:r w:rsidRPr="006D1ADE">
        <w:rPr>
          <w:b/>
        </w:rPr>
        <w:t>Línea Estratégica 2.3.</w:t>
      </w:r>
      <w:r w:rsidRPr="006D1ADE">
        <w:t xml:space="preserve">  Incremento en cobertura y mantenimiento en sistemas de alcantarillado</w:t>
      </w:r>
    </w:p>
    <w:p w:rsidR="000F3AF4" w:rsidRPr="006D1ADE" w:rsidRDefault="000F3AF4" w:rsidP="000F3AF4">
      <w:pPr>
        <w:ind w:firstLine="0"/>
      </w:pPr>
      <w:r w:rsidRPr="006D1ADE">
        <w:rPr>
          <w:i/>
        </w:rPr>
        <w:t>Línea de acción 2.3.1.</w:t>
      </w:r>
      <w:r w:rsidRPr="006D1ADE">
        <w:t xml:space="preserve">  Incremento en cobertura de sistemas de alcantarillado</w:t>
      </w:r>
    </w:p>
    <w:p w:rsidR="000F3AF4" w:rsidRPr="006D1ADE" w:rsidRDefault="000F3AF4" w:rsidP="006D1ADE">
      <w:r w:rsidRPr="006D1ADE">
        <w:t xml:space="preserve">Una limitante para proporcionar servicios de saneamiento en el medio rural y zonas marginadas, es la falta de tecnología de bajo costo acorde con las condiciones económicas de la población y que garantice un adecuado manejo de excretas. </w:t>
      </w:r>
    </w:p>
    <w:p w:rsidR="000F3AF4" w:rsidRPr="006D1ADE" w:rsidRDefault="000F3AF4" w:rsidP="006D1ADE">
      <w:r w:rsidRPr="006D1ADE">
        <w:t>En regiones donde la densidad promedio es menor o igual a las de la siguiente tabla, la letrina es la tecnología más adecuada. Para poblaciones (rancherías) pequeñas donde viven de 2 a 5 familias de hasta 5 personas, se recomienda la letrina seca ventilada de foso profundo con piso de concreto o fibra de vidrio, si se cuenta con agua suficiente, se sugiera la letrina húmeda con pozo directo.</w:t>
      </w:r>
    </w:p>
    <w:p w:rsidR="000F3AF4" w:rsidRPr="006D1ADE" w:rsidRDefault="000F3AF4" w:rsidP="006D1ADE">
      <w:r w:rsidRPr="006D1ADE">
        <w:t>Existen 2 tipos de letrinas:</w:t>
      </w:r>
    </w:p>
    <w:p w:rsidR="000F3AF4" w:rsidRPr="006D1ADE" w:rsidRDefault="000F3AF4" w:rsidP="00BD0A86">
      <w:pPr>
        <w:numPr>
          <w:ilvl w:val="0"/>
          <w:numId w:val="89"/>
        </w:numPr>
      </w:pPr>
      <w:r w:rsidRPr="006D1ADE">
        <w:lastRenderedPageBreak/>
        <w:t>Letrina seca. ventilada a la cual o se le agrega agua</w:t>
      </w:r>
    </w:p>
    <w:p w:rsidR="000F3AF4" w:rsidRPr="006D1ADE" w:rsidRDefault="000F3AF4" w:rsidP="00BD0A86">
      <w:pPr>
        <w:numPr>
          <w:ilvl w:val="0"/>
          <w:numId w:val="89"/>
        </w:numPr>
        <w:ind w:left="709" w:hanging="349"/>
      </w:pPr>
      <w:r w:rsidRPr="006D1ADE">
        <w:t xml:space="preserve">Letrina húmeda. Se instala donde los problemas de abastecimiento de agua están resueltos, necesita de 4 a 6 </w:t>
      </w:r>
      <w:proofErr w:type="spellStart"/>
      <w:r w:rsidRPr="006D1ADE">
        <w:t>lts</w:t>
      </w:r>
      <w:proofErr w:type="spellEnd"/>
      <w:r w:rsidRPr="006D1ADE">
        <w:t xml:space="preserve"> de agua.</w:t>
      </w:r>
    </w:p>
    <w:p w:rsidR="000F3AF4" w:rsidRPr="006D1ADE" w:rsidRDefault="000F3AF4" w:rsidP="006D1ADE">
      <w:r w:rsidRPr="006D1ADE">
        <w:t xml:space="preserve">Los sanitarios con arrastre hidráulico es un sistema para tratar aguas residuales domésticas. Proporciona un excelente servicio en localidades que tienen red de agua entubada o que cuentan con norias o pozos, pero carecen de drenaje. El sistema de tratamiento </w:t>
      </w:r>
      <w:proofErr w:type="spellStart"/>
      <w:r w:rsidRPr="006D1ADE">
        <w:t>esta</w:t>
      </w:r>
      <w:proofErr w:type="spellEnd"/>
      <w:r w:rsidRPr="006D1ADE">
        <w:t xml:space="preserve"> constituido por:</w:t>
      </w:r>
    </w:p>
    <w:p w:rsidR="000F3AF4" w:rsidRPr="006D1ADE" w:rsidRDefault="000F3AF4" w:rsidP="00BD0A86">
      <w:pPr>
        <w:numPr>
          <w:ilvl w:val="0"/>
          <w:numId w:val="90"/>
        </w:numPr>
      </w:pPr>
      <w:r w:rsidRPr="006D1ADE">
        <w:t>Tapa y tapa de WC</w:t>
      </w:r>
    </w:p>
    <w:p w:rsidR="000F3AF4" w:rsidRPr="006D1ADE" w:rsidRDefault="000F3AF4" w:rsidP="00BD0A86">
      <w:pPr>
        <w:numPr>
          <w:ilvl w:val="0"/>
          <w:numId w:val="90"/>
        </w:numPr>
      </w:pPr>
      <w:r w:rsidRPr="006D1ADE">
        <w:t xml:space="preserve">Registro </w:t>
      </w:r>
    </w:p>
    <w:p w:rsidR="000F3AF4" w:rsidRPr="006D1ADE" w:rsidRDefault="000F3AF4" w:rsidP="00BD0A86">
      <w:pPr>
        <w:numPr>
          <w:ilvl w:val="0"/>
          <w:numId w:val="90"/>
        </w:numPr>
      </w:pPr>
      <w:r w:rsidRPr="006D1ADE">
        <w:t>Tubos de PVC para drenaje y ventilación</w:t>
      </w:r>
    </w:p>
    <w:p w:rsidR="000F3AF4" w:rsidRPr="006D1ADE" w:rsidRDefault="000F3AF4" w:rsidP="00BD0A86">
      <w:pPr>
        <w:numPr>
          <w:ilvl w:val="0"/>
          <w:numId w:val="90"/>
        </w:numPr>
      </w:pPr>
      <w:r w:rsidRPr="006D1ADE">
        <w:t>Tanque séptico</w:t>
      </w:r>
    </w:p>
    <w:p w:rsidR="000F3AF4" w:rsidRPr="006D1ADE" w:rsidRDefault="000F3AF4" w:rsidP="00BD0A86">
      <w:pPr>
        <w:numPr>
          <w:ilvl w:val="0"/>
          <w:numId w:val="90"/>
        </w:numPr>
      </w:pPr>
      <w:r w:rsidRPr="006D1ADE">
        <w:t>Cámara de distribución</w:t>
      </w:r>
    </w:p>
    <w:p w:rsidR="000F3AF4" w:rsidRPr="006D1ADE" w:rsidRDefault="000F3AF4" w:rsidP="00BD0A86">
      <w:pPr>
        <w:numPr>
          <w:ilvl w:val="0"/>
          <w:numId w:val="90"/>
        </w:numPr>
      </w:pPr>
      <w:r w:rsidRPr="006D1ADE">
        <w:t>Pozo de absorción (o zanjas de filtración)</w:t>
      </w:r>
    </w:p>
    <w:p w:rsidR="000F3AF4" w:rsidRPr="006D1ADE" w:rsidRDefault="000F3AF4" w:rsidP="006D1ADE">
      <w:r w:rsidRPr="006D1ADE">
        <w:t>La construcción de fosas sépticas se espera se haga en 2 años por parte de los Ayuntamientos, con un costo de 11.4 MDP.</w:t>
      </w:r>
    </w:p>
    <w:p w:rsidR="000F3AF4" w:rsidRPr="006D1ADE" w:rsidRDefault="000F3AF4" w:rsidP="000F3AF4">
      <w:pPr>
        <w:ind w:firstLine="0"/>
      </w:pPr>
      <w:r w:rsidRPr="006D1ADE">
        <w:rPr>
          <w:i/>
        </w:rPr>
        <w:t>Línea de acción 2.3.2.</w:t>
      </w:r>
      <w:r w:rsidRPr="006D1ADE">
        <w:t xml:space="preserve">  Mantenimiento en sistemas de alcantarillado</w:t>
      </w:r>
    </w:p>
    <w:p w:rsidR="000F3AF4" w:rsidRPr="006D1ADE" w:rsidRDefault="000F3AF4" w:rsidP="008011C2">
      <w:pPr>
        <w:ind w:firstLine="0"/>
        <w:outlineLvl w:val="0"/>
      </w:pPr>
      <w:r w:rsidRPr="006D1ADE">
        <w:rPr>
          <w:b/>
        </w:rPr>
        <w:t>Línea Estratégica 2.4.</w:t>
      </w:r>
      <w:r w:rsidRPr="006D1ADE">
        <w:t xml:space="preserve">  Incremento en sistemas de saneamiento</w:t>
      </w:r>
    </w:p>
    <w:p w:rsidR="000F3AF4" w:rsidRPr="006D1ADE" w:rsidRDefault="000F3AF4" w:rsidP="006D1ADE">
      <w:r w:rsidRPr="006D1ADE">
        <w:t>La cobertura de tratamiento en el área de estudio en del 36%, así que es necesario la construcción de sistemas de tratamiento en las áreas urbanas, en cuanto a las localidades rurales, se deberá de analizar la construcción de sistemas de tratamiento de baja tasa, los cuales son relativamente económicos para su saneamiento.</w:t>
      </w:r>
    </w:p>
    <w:p w:rsidR="000F3AF4" w:rsidRDefault="000F3AF4" w:rsidP="000F3AF4">
      <w:pPr>
        <w:ind w:firstLine="0"/>
      </w:pPr>
      <w:r w:rsidRPr="00EF083B">
        <w:rPr>
          <w:b/>
        </w:rPr>
        <w:t>Línea Estrat</w:t>
      </w:r>
      <w:r>
        <w:rPr>
          <w:b/>
        </w:rPr>
        <w:t>égica 3</w:t>
      </w:r>
      <w:r w:rsidRPr="00EF083B">
        <w:rPr>
          <w:b/>
        </w:rPr>
        <w:t>.</w:t>
      </w:r>
      <w:r>
        <w:rPr>
          <w:b/>
        </w:rPr>
        <w:t xml:space="preserve"> 1</w:t>
      </w:r>
      <w:r w:rsidRPr="00EF083B">
        <w:rPr>
          <w:b/>
        </w:rPr>
        <w:t>.</w:t>
      </w:r>
      <w:r>
        <w:t xml:space="preserve">  Control y prevención de la contaminación de suelo y agua</w:t>
      </w:r>
    </w:p>
    <w:p w:rsidR="000F3AF4" w:rsidRDefault="000F3AF4" w:rsidP="000F3AF4">
      <w:pPr>
        <w:ind w:firstLine="0"/>
      </w:pPr>
      <w:r w:rsidRPr="00EF083B">
        <w:rPr>
          <w:i/>
        </w:rPr>
        <w:t xml:space="preserve">Línea de acción </w:t>
      </w:r>
      <w:r>
        <w:rPr>
          <w:i/>
        </w:rPr>
        <w:t>3.1.1</w:t>
      </w:r>
      <w:r w:rsidRPr="00EF083B">
        <w:rPr>
          <w:i/>
        </w:rPr>
        <w:t>.</w:t>
      </w:r>
      <w:r>
        <w:t xml:space="preserve"> Manejo de residuos sólidos</w:t>
      </w:r>
    </w:p>
    <w:p w:rsidR="002932B0" w:rsidRDefault="002932B0" w:rsidP="002932B0">
      <w:r>
        <w:t xml:space="preserve">Se reconoce que dada las características geohidrológicas, el acuífero presenta una considerable susceptibilidad a la contaminación, tato natural como </w:t>
      </w:r>
      <w:proofErr w:type="spellStart"/>
      <w:r>
        <w:t>antropógenica</w:t>
      </w:r>
      <w:proofErr w:type="spellEnd"/>
      <w:r>
        <w:t>. En primer instancia, dado que los sitios de descarga vertical original (lagunas de Totolcingo y Tepeyahualco) se están transformando en sitios de recarga, al menos de manera temporal y parcial, la disolución e infiltración de sales pueden repercutir en la calidad de agua subterránea. Por otra parte, la falta de control de depósitos finales de residuos sólidos municipales e industriales, tanto peligrosos como no peligrosos, implica la generación de lixiviados que permean la superficie y se adhieren al agua del subsuelo.</w:t>
      </w:r>
    </w:p>
    <w:p w:rsidR="002932B0" w:rsidRDefault="002932B0" w:rsidP="002932B0">
      <w:r>
        <w:t xml:space="preserve">La presente línea de acción pretende generar las alternativas para el estudio potencial de la contaminación natural del agua subterránea, así como generar las iniciativas de coordinación interinstitucional para el control y erradicación de sitios puntuales de contaminación por residuos sólidos municipales e industriales. </w:t>
      </w:r>
    </w:p>
    <w:p w:rsidR="002932B0" w:rsidRDefault="002932B0" w:rsidP="002932B0">
      <w:r>
        <w:lastRenderedPageBreak/>
        <w:t xml:space="preserve">Se estima que en la actualidad, se están generando poco más de 420 ton/día de residuos sólidos, y en una proyección al año 2040 se incrementara un 35%, llegando a 573 ton/día. El problema se agrava cuando se desconoce la disposición final de la basura generada en zonas urbanas y rurales, dado que generalmente no existen sistemas de recolección ni tratamiento, así como de datos que puedan esclarecer de mejor manera la problemática que enfrentan estas localidades. Desafortunadamente, estos residuos sólidos terminan en cañadas, cauces, canales y terrenos a cielo abierto, por lo cual su dispersión es generalizada, generando problemas de contaminación a reservorios de agua para uso humano, agrícola y pecuario. </w:t>
      </w:r>
    </w:p>
    <w:p w:rsidR="002932B0" w:rsidRPr="001A7174" w:rsidRDefault="002932B0" w:rsidP="002932B0">
      <w:pPr>
        <w:pStyle w:val="Tabla1cap12"/>
        <w:ind w:left="56" w:firstLine="10"/>
        <w:rPr>
          <w:lang w:val="es-MX"/>
        </w:rPr>
      </w:pPr>
      <w:bookmarkStart w:id="192" w:name="_Ref270497113"/>
      <w:bookmarkStart w:id="193" w:name="_Toc273962899"/>
      <w:r w:rsidRPr="001A7174">
        <w:rPr>
          <w:lang w:val="es-MX"/>
        </w:rPr>
        <w:t>Generación estimada de residuos sólidos en el acuífero HLOP;  (ton/día)</w:t>
      </w:r>
      <w:bookmarkEnd w:id="192"/>
      <w:bookmarkEnd w:id="193"/>
    </w:p>
    <w:tbl>
      <w:tblPr>
        <w:tblW w:w="9600" w:type="dxa"/>
        <w:tblBorders>
          <w:top w:val="single" w:sz="12" w:space="0" w:color="008000"/>
          <w:bottom w:val="single" w:sz="12" w:space="0" w:color="008000"/>
        </w:tblBorders>
        <w:tblLook w:val="04A0"/>
      </w:tblPr>
      <w:tblGrid>
        <w:gridCol w:w="1200"/>
        <w:gridCol w:w="1217"/>
        <w:gridCol w:w="1217"/>
        <w:gridCol w:w="1217"/>
        <w:gridCol w:w="1217"/>
        <w:gridCol w:w="1217"/>
        <w:gridCol w:w="1217"/>
        <w:gridCol w:w="1217"/>
      </w:tblGrid>
      <w:tr w:rsidR="002932B0" w:rsidRPr="008D2B6E" w:rsidTr="000E30F2">
        <w:trPr>
          <w:trHeight w:val="255"/>
        </w:trPr>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2010</w:t>
            </w: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2015</w:t>
            </w: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2020</w:t>
            </w: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2025</w:t>
            </w: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2030</w:t>
            </w: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2035</w:t>
            </w:r>
          </w:p>
        </w:tc>
        <w:tc>
          <w:tcPr>
            <w:tcW w:w="1200" w:type="dxa"/>
            <w:tcBorders>
              <w:bottom w:val="single" w:sz="6" w:space="0" w:color="008000"/>
            </w:tcBorders>
            <w:shd w:val="clear" w:color="auto" w:fill="auto"/>
            <w:noWrap/>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2040</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r w:rsidRPr="003E19EE">
              <w:rPr>
                <w:rFonts w:eastAsia="Times New Roman" w:cs="Arial"/>
                <w:sz w:val="20"/>
                <w:lang w:eastAsia="es-MX"/>
              </w:rPr>
              <w:t xml:space="preserve">Puebla </w:t>
            </w:r>
            <w:r w:rsidRPr="008D2B6E">
              <w:rPr>
                <w:rFonts w:eastAsia="Times New Roman" w:cs="Arial"/>
                <w:sz w:val="20"/>
                <w:lang w:eastAsia="es-MX"/>
              </w:rPr>
              <w:t>Urbana</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131,385.24</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137,551.82</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143,161.01</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148,112.56</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152,239.65</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155,394.01</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157,468.42</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r w:rsidRPr="008D2B6E">
              <w:rPr>
                <w:rFonts w:eastAsia="Times New Roman" w:cs="Arial"/>
                <w:sz w:val="20"/>
                <w:lang w:eastAsia="es-MX"/>
              </w:rPr>
              <w:t>Pue</w:t>
            </w:r>
            <w:r w:rsidRPr="003E19EE">
              <w:rPr>
                <w:rFonts w:eastAsia="Times New Roman" w:cs="Arial"/>
                <w:sz w:val="20"/>
                <w:lang w:eastAsia="es-MX"/>
              </w:rPr>
              <w:t>bla</w:t>
            </w:r>
            <w:r w:rsidRPr="008D2B6E">
              <w:rPr>
                <w:rFonts w:eastAsia="Times New Roman" w:cs="Arial"/>
                <w:sz w:val="20"/>
                <w:lang w:eastAsia="es-MX"/>
              </w:rPr>
              <w:t xml:space="preserve"> Rural</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71,406.83</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72,823.38</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74,494.13</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75,432.62</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76,530.19</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76,834.32</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77,273.72</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r w:rsidRPr="008D2B6E">
              <w:rPr>
                <w:rFonts w:eastAsia="Times New Roman" w:cs="Arial"/>
                <w:sz w:val="20"/>
                <w:lang w:eastAsia="es-MX"/>
              </w:rPr>
              <w:t>Tlax</w:t>
            </w:r>
            <w:r w:rsidRPr="003E19EE">
              <w:rPr>
                <w:rFonts w:eastAsia="Times New Roman" w:cs="Arial"/>
                <w:sz w:val="20"/>
                <w:lang w:eastAsia="es-MX"/>
              </w:rPr>
              <w:t>cala</w:t>
            </w:r>
            <w:r w:rsidRPr="008D2B6E">
              <w:rPr>
                <w:rFonts w:eastAsia="Times New Roman" w:cs="Arial"/>
                <w:sz w:val="20"/>
                <w:lang w:eastAsia="es-MX"/>
              </w:rPr>
              <w:t xml:space="preserve"> Urbana</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95,502.96</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105,093.28</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114,667.55</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124,148.00</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133,290.80</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141,916.41</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149,831.79</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r w:rsidRPr="008D2B6E">
              <w:rPr>
                <w:rFonts w:eastAsia="Times New Roman" w:cs="Arial"/>
                <w:sz w:val="20"/>
                <w:lang w:eastAsia="es-MX"/>
              </w:rPr>
              <w:t>Tlax</w:t>
            </w:r>
            <w:r w:rsidRPr="003E19EE">
              <w:rPr>
                <w:rFonts w:eastAsia="Times New Roman" w:cs="Arial"/>
                <w:sz w:val="20"/>
                <w:lang w:eastAsia="es-MX"/>
              </w:rPr>
              <w:t>cala</w:t>
            </w:r>
            <w:r w:rsidRPr="008D2B6E">
              <w:rPr>
                <w:rFonts w:eastAsia="Times New Roman" w:cs="Arial"/>
                <w:sz w:val="20"/>
                <w:lang w:eastAsia="es-MX"/>
              </w:rPr>
              <w:t xml:space="preserve"> Rural</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15,895.29</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16,632.47</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17,481.17</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18,144.14</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18,898.54</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19,446.55</w:t>
            </w:r>
          </w:p>
        </w:tc>
        <w:tc>
          <w:tcPr>
            <w:tcW w:w="1200" w:type="dxa"/>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20,057.50</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r w:rsidRPr="008D2B6E">
              <w:rPr>
                <w:rFonts w:eastAsia="Times New Roman" w:cs="Arial"/>
                <w:sz w:val="20"/>
                <w:lang w:eastAsia="es-MX"/>
              </w:rPr>
              <w:t>Ver</w:t>
            </w:r>
            <w:r w:rsidRPr="003E19EE">
              <w:rPr>
                <w:rFonts w:eastAsia="Times New Roman" w:cs="Arial"/>
                <w:sz w:val="20"/>
                <w:lang w:eastAsia="es-MX"/>
              </w:rPr>
              <w:t>acruz</w:t>
            </w:r>
            <w:r w:rsidRPr="008D2B6E">
              <w:rPr>
                <w:rFonts w:eastAsia="Times New Roman" w:cs="Arial"/>
                <w:sz w:val="20"/>
                <w:lang w:eastAsia="es-MX"/>
              </w:rPr>
              <w:t xml:space="preserve"> Urbana</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77,035.31</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85,868.54</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94,449.94</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102,622.32</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110,108.18</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116,660.20</w:t>
            </w:r>
          </w:p>
        </w:tc>
        <w:tc>
          <w:tcPr>
            <w:tcW w:w="1200" w:type="dxa"/>
            <w:tcBorders>
              <w:bottom w:val="nil"/>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122,058.55</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r w:rsidRPr="008D2B6E">
              <w:rPr>
                <w:rFonts w:eastAsia="Times New Roman" w:cs="Arial"/>
                <w:sz w:val="20"/>
                <w:lang w:eastAsia="es-MX"/>
              </w:rPr>
              <w:t>Ver</w:t>
            </w:r>
            <w:r w:rsidRPr="003E19EE">
              <w:rPr>
                <w:rFonts w:eastAsia="Times New Roman" w:cs="Arial"/>
                <w:sz w:val="20"/>
                <w:lang w:eastAsia="es-MX"/>
              </w:rPr>
              <w:t>acruz</w:t>
            </w:r>
            <w:r w:rsidRPr="008D2B6E">
              <w:rPr>
                <w:rFonts w:eastAsia="Times New Roman" w:cs="Arial"/>
                <w:sz w:val="20"/>
                <w:lang w:eastAsia="es-MX"/>
              </w:rPr>
              <w:t xml:space="preserve"> Rural</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33,089.87</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35,728.63</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38,368.62</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40,760.15</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43,035.24</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44,926.15</w:t>
            </w:r>
          </w:p>
        </w:tc>
        <w:tc>
          <w:tcPr>
            <w:tcW w:w="1200" w:type="dxa"/>
            <w:tcBorders>
              <w:top w:val="nil"/>
              <w:bottom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sz w:val="20"/>
                <w:lang w:eastAsia="es-MX"/>
              </w:rPr>
            </w:pPr>
            <w:r w:rsidRPr="008D2B6E">
              <w:rPr>
                <w:rFonts w:eastAsia="Times New Roman" w:cs="Arial"/>
                <w:sz w:val="20"/>
                <w:lang w:eastAsia="es-MX"/>
              </w:rPr>
              <w:t>46,573.27</w:t>
            </w:r>
          </w:p>
        </w:tc>
      </w:tr>
      <w:tr w:rsidR="002932B0" w:rsidRPr="008D2B6E" w:rsidTr="000E30F2">
        <w:trPr>
          <w:trHeight w:val="255"/>
        </w:trPr>
        <w:tc>
          <w:tcPr>
            <w:tcW w:w="1200" w:type="dxa"/>
            <w:shd w:val="clear" w:color="auto" w:fill="auto"/>
            <w:noWrap/>
            <w:hideMark/>
          </w:tcPr>
          <w:p w:rsidR="002932B0" w:rsidRPr="008D2B6E" w:rsidRDefault="002932B0" w:rsidP="000E30F2">
            <w:pPr>
              <w:spacing w:before="0" w:after="0" w:line="240" w:lineRule="auto"/>
              <w:ind w:firstLine="0"/>
              <w:jc w:val="left"/>
              <w:rPr>
                <w:rFonts w:eastAsia="Times New Roman" w:cs="Arial"/>
                <w:sz w:val="20"/>
                <w:lang w:eastAsia="es-MX"/>
              </w:rPr>
            </w:pP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424,315.50</w:t>
            </w: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453,698.12</w:t>
            </w: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482,622.42</w:t>
            </w: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509,219.78</w:t>
            </w: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534,102.60</w:t>
            </w: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555,177.63</w:t>
            </w:r>
          </w:p>
        </w:tc>
        <w:tc>
          <w:tcPr>
            <w:tcW w:w="1200" w:type="dxa"/>
            <w:tcBorders>
              <w:top w:val="single" w:sz="4" w:space="0" w:color="auto"/>
            </w:tcBorders>
            <w:shd w:val="clear" w:color="auto" w:fill="auto"/>
            <w:noWrap/>
            <w:vAlign w:val="center"/>
            <w:hideMark/>
          </w:tcPr>
          <w:p w:rsidR="002932B0" w:rsidRPr="008D2B6E" w:rsidRDefault="002932B0" w:rsidP="000E30F2">
            <w:pPr>
              <w:spacing w:before="0" w:after="0" w:line="240" w:lineRule="auto"/>
              <w:ind w:firstLine="0"/>
              <w:jc w:val="center"/>
              <w:rPr>
                <w:rFonts w:eastAsia="Times New Roman" w:cs="Arial"/>
                <w:b/>
                <w:bCs/>
                <w:i/>
                <w:iCs/>
                <w:sz w:val="20"/>
                <w:lang w:eastAsia="es-MX"/>
              </w:rPr>
            </w:pPr>
            <w:r w:rsidRPr="008D2B6E">
              <w:rPr>
                <w:rFonts w:eastAsia="Times New Roman" w:cs="Arial"/>
                <w:b/>
                <w:bCs/>
                <w:i/>
                <w:iCs/>
                <w:sz w:val="20"/>
                <w:lang w:eastAsia="es-MX"/>
              </w:rPr>
              <w:t>573,263.24</w:t>
            </w:r>
          </w:p>
        </w:tc>
      </w:tr>
    </w:tbl>
    <w:p w:rsidR="002932B0" w:rsidRDefault="002932B0" w:rsidP="002932B0"/>
    <w:p w:rsidR="002932B0" w:rsidRDefault="002932B0" w:rsidP="002932B0">
      <w:r>
        <w:t xml:space="preserve">En términos de un manejo integral de los residuos sólidos, el cual exige la cooperación de diversas instancias a nivel federal, estatal y municipal, se reconoce que el COTAS del acuífero Huamantla-Libres Oriental-Perote deberá coadyuvar en la generación de las alternativas de solución más adecuadas técnica, social, económica y ambientalmente, por ello, tendrá que poner atención en lo siguiente.  </w:t>
      </w:r>
    </w:p>
    <w:p w:rsidR="002932B0" w:rsidRDefault="002932B0" w:rsidP="002932B0">
      <w:r>
        <w:t>La inversión estimada para esta Línea Estratégica ($45 MDP) representa un financiamiento  suficiente para el horizonte de planeación manejado en este estudio y destinado para dos proyectos importantes:</w:t>
      </w:r>
    </w:p>
    <w:p w:rsidR="002932B0" w:rsidRDefault="002932B0" w:rsidP="000E30F2">
      <w:pPr>
        <w:numPr>
          <w:ilvl w:val="0"/>
          <w:numId w:val="106"/>
        </w:numPr>
      </w:pPr>
      <w:r>
        <w:t>Inventario de sitios de disposición final de residuos, capacitación y alternativas de control y compensación ambiental (7.5 MDP)</w:t>
      </w:r>
    </w:p>
    <w:p w:rsidR="002932B0" w:rsidRDefault="002932B0" w:rsidP="000E30F2">
      <w:pPr>
        <w:numPr>
          <w:ilvl w:val="0"/>
          <w:numId w:val="106"/>
        </w:numPr>
      </w:pPr>
      <w:r>
        <w:t>Estudio integral de recolección, manejo y aprovechamiento de residuos sólidos (37.5 MDP)</w:t>
      </w:r>
    </w:p>
    <w:p w:rsidR="000F3AF4" w:rsidRDefault="000F3AF4" w:rsidP="008011C2">
      <w:pPr>
        <w:ind w:firstLine="0"/>
        <w:outlineLvl w:val="0"/>
      </w:pPr>
      <w:r w:rsidRPr="00EF083B">
        <w:rPr>
          <w:b/>
        </w:rPr>
        <w:t>Línea Estrat</w:t>
      </w:r>
      <w:r>
        <w:rPr>
          <w:b/>
        </w:rPr>
        <w:t>égica 3</w:t>
      </w:r>
      <w:r w:rsidRPr="00EF083B">
        <w:rPr>
          <w:b/>
        </w:rPr>
        <w:t>.</w:t>
      </w:r>
      <w:r>
        <w:rPr>
          <w:b/>
        </w:rPr>
        <w:t xml:space="preserve"> 2</w:t>
      </w:r>
      <w:r w:rsidRPr="00EF083B">
        <w:rPr>
          <w:b/>
        </w:rPr>
        <w:t>.</w:t>
      </w:r>
      <w:r>
        <w:t xml:space="preserve">  Instrumentos de coordinación institucional</w:t>
      </w:r>
    </w:p>
    <w:p w:rsidR="000F3AF4" w:rsidRDefault="000F3AF4" w:rsidP="008011C2">
      <w:pPr>
        <w:ind w:firstLine="0"/>
        <w:outlineLvl w:val="0"/>
      </w:pPr>
      <w:r w:rsidRPr="00EF083B">
        <w:rPr>
          <w:i/>
        </w:rPr>
        <w:t xml:space="preserve">Línea de acción </w:t>
      </w:r>
      <w:r>
        <w:rPr>
          <w:i/>
        </w:rPr>
        <w:t>3.2.1</w:t>
      </w:r>
      <w:r w:rsidRPr="00EF083B">
        <w:rPr>
          <w:i/>
        </w:rPr>
        <w:t>.</w:t>
      </w:r>
      <w:r>
        <w:t xml:space="preserve"> Coordinación institucional</w:t>
      </w:r>
    </w:p>
    <w:p w:rsidR="002932B0" w:rsidRDefault="002932B0" w:rsidP="002932B0">
      <w:r>
        <w:t xml:space="preserve">La planeación hídrica requiere de una base institucional y social que pueda ser capaz de generar, coordinar, ejecutar y evaluar, las estrategias para la solución de problemas, o bien, aprovechar las áreas de oportunidad que el propio escenario ambiental nos ofrece. Sin embargo, a </w:t>
      </w:r>
      <w:r>
        <w:lastRenderedPageBreak/>
        <w:t>pesar de la existencia de políticas en el tema, sus resultados son variables a través del tiempo y el área geográfica específica. Se pretende pues, identificar las oportunidades de organización institucional y social con miras a lograr potenciar los resultados que permitan la recuperación y consolidación de los esfuerzos entorno al manejo óptimo de los recursos hídricos del acuífero Huamantla-Libres Oriental-Perote.</w:t>
      </w:r>
    </w:p>
    <w:p w:rsidR="002932B0" w:rsidRPr="00A7708C" w:rsidRDefault="002932B0" w:rsidP="002932B0">
      <w:pPr>
        <w:pStyle w:val="Figura1cap12"/>
        <w:spacing w:line="240" w:lineRule="auto"/>
        <w:rPr>
          <w:lang w:val="es-MX"/>
        </w:rPr>
      </w:pPr>
      <w:bookmarkStart w:id="194" w:name="_Ref270525728"/>
      <w:bookmarkStart w:id="195" w:name="_Toc273962875"/>
      <w:r w:rsidRPr="00A7708C">
        <w:rPr>
          <w:lang w:val="es-MX"/>
        </w:rPr>
        <w:t>Problemática en la Gestión Integral de Recursos Hídricos</w:t>
      </w:r>
      <w:bookmarkEnd w:id="194"/>
      <w:bookmarkEnd w:id="195"/>
    </w:p>
    <w:p w:rsidR="002932B0" w:rsidRDefault="008011C2" w:rsidP="002932B0">
      <w:pPr>
        <w:jc w:val="center"/>
      </w:pPr>
      <w:r>
        <w:rPr>
          <w:noProof/>
          <w:lang w:eastAsia="es-MX"/>
        </w:rPr>
        <w:drawing>
          <wp:inline distT="0" distB="0" distL="0" distR="0">
            <wp:extent cx="3905250" cy="28575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srcRect/>
                    <a:stretch>
                      <a:fillRect/>
                    </a:stretch>
                  </pic:blipFill>
                  <pic:spPr bwMode="auto">
                    <a:xfrm>
                      <a:off x="0" y="0"/>
                      <a:ext cx="3905250" cy="2857500"/>
                    </a:xfrm>
                    <a:prstGeom prst="rect">
                      <a:avLst/>
                    </a:prstGeom>
                    <a:noFill/>
                    <a:ln w="9525">
                      <a:noFill/>
                      <a:miter lim="800000"/>
                      <a:headEnd/>
                      <a:tailEnd/>
                    </a:ln>
                  </pic:spPr>
                </pic:pic>
              </a:graphicData>
            </a:graphic>
          </wp:inline>
        </w:drawing>
      </w:r>
    </w:p>
    <w:p w:rsidR="002932B0" w:rsidRDefault="002932B0" w:rsidP="002932B0">
      <w:r>
        <w:t>En el presente Plan de Manejo se ha estructurado una cartera de proyectos que pretende atender diversas problemáticas del sector hídrico subterráneo, al igual que aprovechar áreas de oportunidad en el manejo del agua. Sin embargo, un porcentaje considerable de estudios y proyectos dependen de la gestión correcta de los mismos en diversas instancias y dependencias vinculadas al sector hídrico e hidráulico en México. Por lo anterior, se considera que para mejor éxito y cumplimiento de cada uno de los objetivos y líneas estratégicas es necesario incrustar cada proyecto en las políticas y programas institucionales y sectoriales involucrados.</w:t>
      </w:r>
    </w:p>
    <w:p w:rsidR="002932B0" w:rsidRDefault="002932B0" w:rsidP="002932B0">
      <w:r>
        <w:t xml:space="preserve">Como es posible observar, las acciones de esta línea estratégica son de carácter intangible y no estructural, pero su importancia se destaca por ser eje toral de la realización de diversos proyectos de gran interés para la cuenca de Oriental. Es así que para el cumplimiento de la presente línea de acción se establecen dos actividades específicas: </w:t>
      </w:r>
    </w:p>
    <w:p w:rsidR="002932B0" w:rsidRDefault="002932B0" w:rsidP="000E30F2">
      <w:pPr>
        <w:numPr>
          <w:ilvl w:val="0"/>
          <w:numId w:val="107"/>
        </w:numPr>
      </w:pPr>
      <w:r>
        <w:t>Convenio de coordinación multisectorial para la protección de zonas estratégicas en el ciclo hidrológico dentro de la cuenca de Oriental.</w:t>
      </w:r>
    </w:p>
    <w:p w:rsidR="002932B0" w:rsidRDefault="002932B0" w:rsidP="002932B0">
      <w:pPr>
        <w:ind w:left="644" w:firstLine="0"/>
      </w:pPr>
      <w:r>
        <w:t>En esta actividad se deberán atender las cuatro recomendaciones anteriormente señaladas.</w:t>
      </w:r>
    </w:p>
    <w:p w:rsidR="002932B0" w:rsidRDefault="002932B0" w:rsidP="000E30F2">
      <w:pPr>
        <w:numPr>
          <w:ilvl w:val="0"/>
          <w:numId w:val="107"/>
        </w:numPr>
      </w:pPr>
      <w:r>
        <w:t>Instrumentos de difusión de actividades sectoriales en el ámbito del manejo de los recursos naturales</w:t>
      </w:r>
    </w:p>
    <w:p w:rsidR="002932B0" w:rsidRDefault="002932B0" w:rsidP="002932B0">
      <w:r>
        <w:lastRenderedPageBreak/>
        <w:t>Los recursos destinados para esta Línea Estratégica corresponden a las actividades de transporte, alimentación, hospedaje, capacitación, impresión de documentos de difusión, reuniones de información y capacitación, renta de espacios e insumos varios, y alcanzan en el horizonte de planeación los 6 MDP, con un promedio anual de $200.00 M.N.</w:t>
      </w:r>
    </w:p>
    <w:p w:rsidR="000F3AF4" w:rsidRDefault="000F3AF4" w:rsidP="008011C2">
      <w:pPr>
        <w:ind w:firstLine="0"/>
        <w:outlineLvl w:val="0"/>
      </w:pPr>
      <w:r w:rsidRPr="00EF083B">
        <w:rPr>
          <w:b/>
        </w:rPr>
        <w:t>Línea Estrat</w:t>
      </w:r>
      <w:r>
        <w:rPr>
          <w:b/>
        </w:rPr>
        <w:t>égica 3</w:t>
      </w:r>
      <w:r w:rsidRPr="00EF083B">
        <w:rPr>
          <w:b/>
        </w:rPr>
        <w:t>.</w:t>
      </w:r>
      <w:r>
        <w:rPr>
          <w:b/>
        </w:rPr>
        <w:t xml:space="preserve"> 3</w:t>
      </w:r>
      <w:r w:rsidRPr="00EF083B">
        <w:rPr>
          <w:b/>
        </w:rPr>
        <w:t>.</w:t>
      </w:r>
      <w:r>
        <w:t xml:space="preserve">  Manejo de cuencas</w:t>
      </w:r>
    </w:p>
    <w:p w:rsidR="000F3AF4" w:rsidRDefault="000F3AF4" w:rsidP="008011C2">
      <w:pPr>
        <w:ind w:firstLine="0"/>
        <w:outlineLvl w:val="0"/>
      </w:pPr>
      <w:r w:rsidRPr="00EF083B">
        <w:rPr>
          <w:i/>
        </w:rPr>
        <w:t xml:space="preserve">Línea de acción </w:t>
      </w:r>
      <w:r>
        <w:rPr>
          <w:i/>
        </w:rPr>
        <w:t>3.3.1</w:t>
      </w:r>
      <w:r w:rsidRPr="00EF083B">
        <w:rPr>
          <w:i/>
        </w:rPr>
        <w:t>.</w:t>
      </w:r>
      <w:r>
        <w:t xml:space="preserve"> Capacitación e información</w:t>
      </w:r>
    </w:p>
    <w:p w:rsidR="002932B0" w:rsidRDefault="002932B0" w:rsidP="002932B0">
      <w:r>
        <w:t xml:space="preserve">Conocer la profundidad de las problemáticas derivadas del manejo del agua subterránea y su implicación en los sectores sociales, económicos y ambientales, es necesario tanto a nivel de tomadores de decisión, usuarios, como de sociedad en general. Los primeros, para generar respuestas coherentes en términos del diseño de programas ambientales o programas vinculados directamente al ambiente, requieren el conocimiento real de los procesos hidrológicos y del impacto de la alteración de éste en la vida social y económica de la región. Por otra parte, los usuarios del agua subterránea requieren conocer cómo es la interacción de su actividad en cuanto a la dinámica de los volúmenes de agua almacenada en el subsuelo. </w:t>
      </w:r>
    </w:p>
    <w:p w:rsidR="002932B0" w:rsidRDefault="002932B0" w:rsidP="002932B0">
      <w:r>
        <w:t>Es importante hacer notar, que para efectos de una mejor gestión al interior de COTAS HLOP, es necesario que la Gerencia Operativa adquiera el conocimiento complementario en los siguientes rubros:</w:t>
      </w:r>
    </w:p>
    <w:p w:rsidR="002932B0" w:rsidRDefault="002932B0" w:rsidP="000E30F2">
      <w:pPr>
        <w:numPr>
          <w:ilvl w:val="0"/>
          <w:numId w:val="108"/>
        </w:numPr>
      </w:pPr>
      <w:r>
        <w:t>Legislación y normatividad del sector hídrico ambiental</w:t>
      </w:r>
    </w:p>
    <w:p w:rsidR="002932B0" w:rsidRDefault="002932B0" w:rsidP="000E30F2">
      <w:pPr>
        <w:numPr>
          <w:ilvl w:val="0"/>
          <w:numId w:val="108"/>
        </w:numPr>
      </w:pPr>
      <w:r>
        <w:t>Manejo integral de cuencas</w:t>
      </w:r>
    </w:p>
    <w:p w:rsidR="002932B0" w:rsidRDefault="002932B0" w:rsidP="000E30F2">
      <w:pPr>
        <w:numPr>
          <w:ilvl w:val="0"/>
          <w:numId w:val="108"/>
        </w:numPr>
      </w:pPr>
      <w:r>
        <w:t>Gestión de financiamiento en el sector hídrico y ambiental</w:t>
      </w:r>
    </w:p>
    <w:p w:rsidR="002932B0" w:rsidRDefault="002932B0" w:rsidP="000E30F2">
      <w:pPr>
        <w:numPr>
          <w:ilvl w:val="0"/>
          <w:numId w:val="108"/>
        </w:numPr>
      </w:pPr>
      <w:r>
        <w:t>Manejo de tecnologías de la información (bases de datos, sistemas de información geográfica, etc.)</w:t>
      </w:r>
    </w:p>
    <w:p w:rsidR="002932B0" w:rsidRDefault="002932B0" w:rsidP="000E30F2">
      <w:pPr>
        <w:numPr>
          <w:ilvl w:val="0"/>
          <w:numId w:val="108"/>
        </w:numPr>
      </w:pPr>
      <w:r>
        <w:t xml:space="preserve">Capacitación técnica (en áreas de agroecología, manejo de residuos sólidos, tratamiento y </w:t>
      </w:r>
      <w:proofErr w:type="spellStart"/>
      <w:r>
        <w:t>reuso</w:t>
      </w:r>
      <w:proofErr w:type="spellEnd"/>
      <w:r>
        <w:t xml:space="preserve"> de aguas residuales, conservación de suelo y agua, impacto ambiental, etc.).</w:t>
      </w:r>
    </w:p>
    <w:p w:rsidR="002932B0" w:rsidRDefault="002932B0" w:rsidP="002932B0">
      <w:r>
        <w:t>Para el caso del sector usuario es importante que la totalidad de los Usuarios Vocales y usuarios en general tengan la adecuada capacitación en los siguientes temas:</w:t>
      </w:r>
    </w:p>
    <w:p w:rsidR="002932B0" w:rsidRDefault="002932B0" w:rsidP="000E30F2">
      <w:pPr>
        <w:numPr>
          <w:ilvl w:val="0"/>
          <w:numId w:val="109"/>
        </w:numPr>
      </w:pPr>
      <w:r>
        <w:t>Participación social en el marco de la Planeación Hídrica Nacional</w:t>
      </w:r>
    </w:p>
    <w:p w:rsidR="002932B0" w:rsidRDefault="002932B0" w:rsidP="000E30F2">
      <w:pPr>
        <w:numPr>
          <w:ilvl w:val="0"/>
          <w:numId w:val="109"/>
        </w:numPr>
      </w:pPr>
      <w:r>
        <w:t>Legislación y normatividad del sector hídrico ambiental</w:t>
      </w:r>
    </w:p>
    <w:p w:rsidR="002932B0" w:rsidRDefault="002932B0" w:rsidP="000E30F2">
      <w:pPr>
        <w:numPr>
          <w:ilvl w:val="0"/>
          <w:numId w:val="109"/>
        </w:numPr>
      </w:pPr>
      <w:r>
        <w:t>Capacitación técnica en uso y conservación de suelo y agua</w:t>
      </w:r>
    </w:p>
    <w:p w:rsidR="002932B0" w:rsidRDefault="002932B0" w:rsidP="000E30F2">
      <w:pPr>
        <w:numPr>
          <w:ilvl w:val="0"/>
          <w:numId w:val="109"/>
        </w:numPr>
      </w:pPr>
      <w:r>
        <w:t>Programas de apoyo federal y estatal vinculados al sector hídrico</w:t>
      </w:r>
    </w:p>
    <w:p w:rsidR="002932B0" w:rsidRDefault="002932B0" w:rsidP="000E30F2">
      <w:pPr>
        <w:numPr>
          <w:ilvl w:val="0"/>
          <w:numId w:val="109"/>
        </w:numPr>
      </w:pPr>
      <w:r>
        <w:t xml:space="preserve">Plan de manejo de aguas subterráneas. De la planeación a la práctica </w:t>
      </w:r>
    </w:p>
    <w:p w:rsidR="002932B0" w:rsidRDefault="002932B0" w:rsidP="002932B0">
      <w:r>
        <w:t>Se pretende la necesidad de que la Gerencia Operativa del COTAS HLOP tenga dos eventos de capacitación anuales, al igual que los Usuarios Vocales y usuarios en general.</w:t>
      </w:r>
    </w:p>
    <w:p w:rsidR="002932B0" w:rsidRPr="001A7174" w:rsidRDefault="002932B0" w:rsidP="002932B0">
      <w:pPr>
        <w:pStyle w:val="Tabla1cap12"/>
        <w:ind w:left="56" w:firstLine="10"/>
        <w:rPr>
          <w:lang w:val="es-MX"/>
        </w:rPr>
      </w:pPr>
      <w:bookmarkStart w:id="196" w:name="_Ref270671031"/>
      <w:bookmarkStart w:id="197" w:name="_Toc273962901"/>
      <w:r w:rsidRPr="001A7174">
        <w:rPr>
          <w:lang w:val="es-MX"/>
        </w:rPr>
        <w:lastRenderedPageBreak/>
        <w:t>Financiamiento estimado para efectos de capacitación e información</w:t>
      </w:r>
      <w:bookmarkEnd w:id="196"/>
      <w:bookmarkEnd w:id="197"/>
    </w:p>
    <w:tbl>
      <w:tblPr>
        <w:tblW w:w="9727" w:type="dxa"/>
        <w:tblInd w:w="53" w:type="dxa"/>
        <w:tblLayout w:type="fixed"/>
        <w:tblCellMar>
          <w:left w:w="70" w:type="dxa"/>
          <w:right w:w="70" w:type="dxa"/>
        </w:tblCellMar>
        <w:tblLook w:val="04A0"/>
      </w:tblPr>
      <w:tblGrid>
        <w:gridCol w:w="1297"/>
        <w:gridCol w:w="1414"/>
        <w:gridCol w:w="1276"/>
        <w:gridCol w:w="994"/>
        <w:gridCol w:w="921"/>
        <w:gridCol w:w="1176"/>
        <w:gridCol w:w="1232"/>
        <w:gridCol w:w="1417"/>
      </w:tblGrid>
      <w:tr w:rsidR="002932B0" w:rsidRPr="00291226" w:rsidTr="000E30F2">
        <w:trPr>
          <w:trHeight w:val="762"/>
        </w:trPr>
        <w:tc>
          <w:tcPr>
            <w:tcW w:w="1297"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Actividad</w:t>
            </w:r>
          </w:p>
        </w:tc>
        <w:tc>
          <w:tcPr>
            <w:tcW w:w="1414"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Elemento</w:t>
            </w:r>
          </w:p>
        </w:tc>
        <w:tc>
          <w:tcPr>
            <w:tcW w:w="1276"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Número de participantes</w:t>
            </w:r>
          </w:p>
        </w:tc>
        <w:tc>
          <w:tcPr>
            <w:tcW w:w="994"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Eventos anuales</w:t>
            </w:r>
          </w:p>
        </w:tc>
        <w:tc>
          <w:tcPr>
            <w:tcW w:w="921"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Eventos anuales total</w:t>
            </w:r>
          </w:p>
        </w:tc>
        <w:tc>
          <w:tcPr>
            <w:tcW w:w="1176"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Costo unitario estimado por evento</w:t>
            </w:r>
          </w:p>
        </w:tc>
        <w:tc>
          <w:tcPr>
            <w:tcW w:w="1232"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Costo anual</w:t>
            </w:r>
          </w:p>
        </w:tc>
        <w:tc>
          <w:tcPr>
            <w:tcW w:w="1417" w:type="dxa"/>
            <w:tcBorders>
              <w:top w:val="single" w:sz="12" w:space="0" w:color="008000"/>
              <w:left w:val="nil"/>
              <w:bottom w:val="single" w:sz="8"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Costo horizonte de planeación</w:t>
            </w:r>
          </w:p>
        </w:tc>
      </w:tr>
      <w:tr w:rsidR="002932B0" w:rsidRPr="00291226" w:rsidTr="000E30F2">
        <w:trPr>
          <w:trHeight w:val="510"/>
        </w:trPr>
        <w:tc>
          <w:tcPr>
            <w:tcW w:w="1297" w:type="dxa"/>
            <w:vMerge w:val="restart"/>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Capacitación</w:t>
            </w:r>
          </w:p>
        </w:tc>
        <w:tc>
          <w:tcPr>
            <w:tcW w:w="1414"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Gerencia Operativa</w:t>
            </w:r>
          </w:p>
        </w:tc>
        <w:tc>
          <w:tcPr>
            <w:tcW w:w="1276"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2</w:t>
            </w:r>
          </w:p>
        </w:tc>
        <w:tc>
          <w:tcPr>
            <w:tcW w:w="994"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2</w:t>
            </w:r>
          </w:p>
        </w:tc>
        <w:tc>
          <w:tcPr>
            <w:tcW w:w="921"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4</w:t>
            </w:r>
          </w:p>
        </w:tc>
        <w:tc>
          <w:tcPr>
            <w:tcW w:w="1176"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$10,000.00</w:t>
            </w:r>
          </w:p>
        </w:tc>
        <w:tc>
          <w:tcPr>
            <w:tcW w:w="1232"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$40,000.00</w:t>
            </w:r>
          </w:p>
        </w:tc>
        <w:tc>
          <w:tcPr>
            <w:tcW w:w="1417"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$1,200,000.00</w:t>
            </w:r>
          </w:p>
        </w:tc>
      </w:tr>
      <w:tr w:rsidR="002932B0" w:rsidRPr="00291226" w:rsidTr="000E30F2">
        <w:trPr>
          <w:trHeight w:val="1020"/>
        </w:trPr>
        <w:tc>
          <w:tcPr>
            <w:tcW w:w="1297" w:type="dxa"/>
            <w:vMerge/>
            <w:tcBorders>
              <w:top w:val="nil"/>
              <w:left w:val="nil"/>
              <w:bottom w:val="nil"/>
              <w:right w:val="nil"/>
            </w:tcBorders>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p>
        </w:tc>
        <w:tc>
          <w:tcPr>
            <w:tcW w:w="1414"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Vocales Usuarios y usuarios en general</w:t>
            </w:r>
          </w:p>
        </w:tc>
        <w:tc>
          <w:tcPr>
            <w:tcW w:w="1276"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Pr>
                <w:rFonts w:eastAsia="Times New Roman" w:cs="Arial"/>
                <w:color w:val="000000"/>
                <w:sz w:val="18"/>
                <w:szCs w:val="18"/>
                <w:lang w:eastAsia="es-MX"/>
              </w:rPr>
              <w:t>&gt;2</w:t>
            </w:r>
            <w:r w:rsidRPr="00291226">
              <w:rPr>
                <w:rFonts w:eastAsia="Times New Roman" w:cs="Arial"/>
                <w:color w:val="000000"/>
                <w:sz w:val="18"/>
                <w:szCs w:val="18"/>
                <w:lang w:eastAsia="es-MX"/>
              </w:rPr>
              <w:t>0</w:t>
            </w:r>
          </w:p>
        </w:tc>
        <w:tc>
          <w:tcPr>
            <w:tcW w:w="994" w:type="dxa"/>
            <w:tcBorders>
              <w:top w:val="nil"/>
              <w:left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2</w:t>
            </w:r>
          </w:p>
        </w:tc>
        <w:tc>
          <w:tcPr>
            <w:tcW w:w="921" w:type="dxa"/>
            <w:tcBorders>
              <w:top w:val="nil"/>
              <w:left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2</w:t>
            </w:r>
          </w:p>
        </w:tc>
        <w:tc>
          <w:tcPr>
            <w:tcW w:w="1176" w:type="dxa"/>
            <w:tcBorders>
              <w:top w:val="nil"/>
              <w:left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$50,000.00</w:t>
            </w:r>
          </w:p>
        </w:tc>
        <w:tc>
          <w:tcPr>
            <w:tcW w:w="1232" w:type="dxa"/>
            <w:tcBorders>
              <w:top w:val="nil"/>
              <w:left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$100,000.00</w:t>
            </w:r>
          </w:p>
        </w:tc>
        <w:tc>
          <w:tcPr>
            <w:tcW w:w="1417" w:type="dxa"/>
            <w:tcBorders>
              <w:top w:val="nil"/>
              <w:left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$3,000,000.00</w:t>
            </w:r>
          </w:p>
        </w:tc>
      </w:tr>
      <w:tr w:rsidR="002932B0" w:rsidRPr="00291226" w:rsidTr="000E30F2">
        <w:trPr>
          <w:trHeight w:val="780"/>
        </w:trPr>
        <w:tc>
          <w:tcPr>
            <w:tcW w:w="1297"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Información</w:t>
            </w:r>
          </w:p>
        </w:tc>
        <w:tc>
          <w:tcPr>
            <w:tcW w:w="1414"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Difusión de información diversa</w:t>
            </w:r>
          </w:p>
        </w:tc>
        <w:tc>
          <w:tcPr>
            <w:tcW w:w="1276" w:type="dxa"/>
            <w:tcBorders>
              <w:top w:val="nil"/>
              <w:left w:val="nil"/>
              <w:bottom w:val="nil"/>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No aplica</w:t>
            </w:r>
          </w:p>
        </w:tc>
        <w:tc>
          <w:tcPr>
            <w:tcW w:w="994" w:type="dxa"/>
            <w:tcBorders>
              <w:top w:val="nil"/>
              <w:left w:val="nil"/>
              <w:bottom w:val="single" w:sz="4" w:space="0" w:color="auto"/>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2</w:t>
            </w:r>
          </w:p>
        </w:tc>
        <w:tc>
          <w:tcPr>
            <w:tcW w:w="921" w:type="dxa"/>
            <w:tcBorders>
              <w:top w:val="nil"/>
              <w:left w:val="nil"/>
              <w:bottom w:val="single" w:sz="4" w:space="0" w:color="auto"/>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2</w:t>
            </w:r>
          </w:p>
        </w:tc>
        <w:tc>
          <w:tcPr>
            <w:tcW w:w="1176" w:type="dxa"/>
            <w:tcBorders>
              <w:top w:val="nil"/>
              <w:left w:val="nil"/>
              <w:bottom w:val="single" w:sz="4" w:space="0" w:color="auto"/>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$5,000.00</w:t>
            </w:r>
          </w:p>
        </w:tc>
        <w:tc>
          <w:tcPr>
            <w:tcW w:w="1232" w:type="dxa"/>
            <w:tcBorders>
              <w:top w:val="nil"/>
              <w:left w:val="nil"/>
              <w:bottom w:val="single" w:sz="4" w:space="0" w:color="auto"/>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$10,000.00</w:t>
            </w:r>
          </w:p>
        </w:tc>
        <w:tc>
          <w:tcPr>
            <w:tcW w:w="1417" w:type="dxa"/>
            <w:tcBorders>
              <w:top w:val="nil"/>
              <w:left w:val="nil"/>
              <w:bottom w:val="single" w:sz="4" w:space="0" w:color="auto"/>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$300,000.00</w:t>
            </w:r>
          </w:p>
        </w:tc>
      </w:tr>
      <w:tr w:rsidR="002932B0" w:rsidRPr="00291226" w:rsidTr="000E30F2">
        <w:trPr>
          <w:trHeight w:val="315"/>
        </w:trPr>
        <w:tc>
          <w:tcPr>
            <w:tcW w:w="3987" w:type="dxa"/>
            <w:gridSpan w:val="3"/>
            <w:tcBorders>
              <w:top w:val="nil"/>
              <w:left w:val="nil"/>
              <w:bottom w:val="single" w:sz="12"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TOTAL</w:t>
            </w:r>
          </w:p>
        </w:tc>
        <w:tc>
          <w:tcPr>
            <w:tcW w:w="994" w:type="dxa"/>
            <w:tcBorders>
              <w:top w:val="single" w:sz="4" w:space="0" w:color="auto"/>
              <w:left w:val="nil"/>
              <w:bottom w:val="single" w:sz="12"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6</w:t>
            </w:r>
          </w:p>
        </w:tc>
        <w:tc>
          <w:tcPr>
            <w:tcW w:w="921" w:type="dxa"/>
            <w:tcBorders>
              <w:top w:val="single" w:sz="4" w:space="0" w:color="auto"/>
              <w:left w:val="nil"/>
              <w:bottom w:val="single" w:sz="12"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8</w:t>
            </w:r>
          </w:p>
        </w:tc>
        <w:tc>
          <w:tcPr>
            <w:tcW w:w="1176" w:type="dxa"/>
            <w:tcBorders>
              <w:top w:val="single" w:sz="4" w:space="0" w:color="auto"/>
              <w:left w:val="nil"/>
              <w:bottom w:val="single" w:sz="12"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$65,000.00</w:t>
            </w:r>
          </w:p>
        </w:tc>
        <w:tc>
          <w:tcPr>
            <w:tcW w:w="1232" w:type="dxa"/>
            <w:tcBorders>
              <w:top w:val="single" w:sz="4" w:space="0" w:color="auto"/>
              <w:left w:val="nil"/>
              <w:bottom w:val="single" w:sz="12"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$150,000.00</w:t>
            </w:r>
          </w:p>
        </w:tc>
        <w:tc>
          <w:tcPr>
            <w:tcW w:w="1417" w:type="dxa"/>
            <w:tcBorders>
              <w:top w:val="single" w:sz="4" w:space="0" w:color="auto"/>
              <w:left w:val="nil"/>
              <w:bottom w:val="single" w:sz="12" w:space="0" w:color="008000"/>
              <w:right w:val="nil"/>
            </w:tcBorders>
            <w:shd w:val="clear" w:color="auto" w:fill="auto"/>
            <w:vAlign w:val="center"/>
            <w:hideMark/>
          </w:tcPr>
          <w:p w:rsidR="002932B0" w:rsidRPr="00291226" w:rsidRDefault="002932B0" w:rsidP="000E30F2">
            <w:pPr>
              <w:spacing w:before="0" w:after="0" w:line="240" w:lineRule="auto"/>
              <w:ind w:firstLine="0"/>
              <w:jc w:val="center"/>
              <w:rPr>
                <w:rFonts w:eastAsia="Times New Roman" w:cs="Arial"/>
                <w:color w:val="000000"/>
                <w:sz w:val="18"/>
                <w:szCs w:val="18"/>
                <w:lang w:eastAsia="es-MX"/>
              </w:rPr>
            </w:pPr>
            <w:r w:rsidRPr="00291226">
              <w:rPr>
                <w:rFonts w:eastAsia="Times New Roman" w:cs="Arial"/>
                <w:color w:val="000000"/>
                <w:sz w:val="18"/>
                <w:szCs w:val="18"/>
                <w:lang w:eastAsia="es-MX"/>
              </w:rPr>
              <w:t>$4,500,000.00</w:t>
            </w:r>
          </w:p>
        </w:tc>
      </w:tr>
    </w:tbl>
    <w:p w:rsidR="002932B0" w:rsidRDefault="002932B0" w:rsidP="002932B0"/>
    <w:p w:rsidR="002932B0" w:rsidRDefault="002932B0" w:rsidP="002932B0">
      <w:r>
        <w:t xml:space="preserve">Con base en lo anterior, la cifra anual para efectos de cumplimiento de esta Línea de Acción es de $150,000 MN, lo que proyecta una inversión al año 2040 de $4.5 MDP, cifra que resulta verdaderamente marginal respecto al total necesario para efectuar el actual Plan de Manejo, pero que sin embargo, es elemento vital para gestionarlo y administrarlo de manera correcta. </w:t>
      </w:r>
    </w:p>
    <w:p w:rsidR="000F3AF4" w:rsidRDefault="000F3AF4" w:rsidP="000F3AF4">
      <w:pPr>
        <w:ind w:firstLine="0"/>
      </w:pPr>
      <w:r w:rsidRPr="00EF083B">
        <w:rPr>
          <w:i/>
        </w:rPr>
        <w:t xml:space="preserve">Línea de acción </w:t>
      </w:r>
      <w:r>
        <w:rPr>
          <w:i/>
        </w:rPr>
        <w:t>3.3.2</w:t>
      </w:r>
      <w:r w:rsidRPr="00EF083B">
        <w:rPr>
          <w:i/>
        </w:rPr>
        <w:t>.</w:t>
      </w:r>
      <w:r>
        <w:t xml:space="preserve"> Fomento de recarga de agua subterránea</w:t>
      </w:r>
    </w:p>
    <w:p w:rsidR="002932B0" w:rsidRDefault="002932B0" w:rsidP="002932B0">
      <w:r>
        <w:t>Se identifica que las características geohidrológicas de determinadas zonas del acuífero Huamantla-Libres Oriental-Perote pueden ser potencialmente proveedoras de las características necesarias para el fomento de la infiltración de agua de lluvia. Por ello, es importante evaluar la potencialidad de las características pluviales y geohidrológicas que permitan en el mediano y largo plazo acrecentar la oferta de agua subterránea.</w:t>
      </w:r>
    </w:p>
    <w:p w:rsidR="002932B0" w:rsidRDefault="002932B0" w:rsidP="002932B0">
      <w:r w:rsidRPr="00FA5428">
        <w:t xml:space="preserve">Actualmente, las estrategias de conservación de volúmenes de agua subterránea se perfila como una alternativa de interés en aquellas regiones donde la sobreexplotación de las reservas geohidrológicas </w:t>
      </w:r>
      <w:r>
        <w:t xml:space="preserve">presentan un balance desfavorable; más relevancia </w:t>
      </w:r>
      <w:r w:rsidRPr="00FA5428">
        <w:t xml:space="preserve">presenta en regiones donde  los volúmenes de lluvia y escurrimiento son bajos o escasos, </w:t>
      </w:r>
      <w:r>
        <w:t xml:space="preserve">dado que </w:t>
      </w:r>
      <w:r w:rsidRPr="00FA5428">
        <w:t xml:space="preserve">un desequilibrio en el balance hidrológico repercute no solo en el </w:t>
      </w:r>
      <w:r>
        <w:t>entorno</w:t>
      </w:r>
      <w:r w:rsidRPr="00FA5428">
        <w:t xml:space="preserve"> natural, sino también, directamente en la sociedad y las labores económico-productivas que ésta desarrolla. Es así que a la par de iniciativas, como la recuperación, protección y fomento de zonas estratégicas de importancia hidrológica, la recarga artificial de acuíferos </w:t>
      </w:r>
      <w:r>
        <w:t>se desempeña como una estrategia de manejo adecuado de agua subterránea.</w:t>
      </w:r>
    </w:p>
    <w:p w:rsidR="002932B0" w:rsidRDefault="002932B0" w:rsidP="002932B0">
      <w:r>
        <w:t>A partir de lo anterior, el presente Plan de Manejo establece que en un horizonte de planeación inmediato, se deberá efectuar un estudio de factibilidad hidrológica, técnica y ambiental y en un posterior periodo efectuar las respectivas pruebas piloto, y construcción y operación de obras definitivas. De tal forma, se proponen para el cumplimiento de la presente Línea de Acción se proponen los siguientes estudios y proyectos:</w:t>
      </w:r>
    </w:p>
    <w:p w:rsidR="002932B0" w:rsidRDefault="002932B0" w:rsidP="000E30F2">
      <w:pPr>
        <w:numPr>
          <w:ilvl w:val="0"/>
          <w:numId w:val="110"/>
        </w:numPr>
      </w:pPr>
      <w:r>
        <w:lastRenderedPageBreak/>
        <w:t>Estudio de Factibilidad para la Definición y Ejecución de Proyectos de Recarga de Agua Pluvial en la Cuenca de Oriental</w:t>
      </w:r>
    </w:p>
    <w:p w:rsidR="002932B0" w:rsidRDefault="002932B0" w:rsidP="000E30F2">
      <w:pPr>
        <w:numPr>
          <w:ilvl w:val="0"/>
          <w:numId w:val="110"/>
        </w:numPr>
      </w:pPr>
      <w:r>
        <w:t xml:space="preserve">Diseño y Construcción de Obras Piloto para la Recarga de Agua Pluvial en la Cuenca de Oriental. </w:t>
      </w:r>
    </w:p>
    <w:p w:rsidR="000F3AF4" w:rsidRDefault="000F3AF4" w:rsidP="000F3AF4">
      <w:pPr>
        <w:ind w:firstLine="0"/>
      </w:pPr>
      <w:r w:rsidRPr="00EF083B">
        <w:rPr>
          <w:i/>
        </w:rPr>
        <w:t xml:space="preserve">Línea de acción </w:t>
      </w:r>
      <w:r>
        <w:rPr>
          <w:i/>
        </w:rPr>
        <w:t>3.3.3</w:t>
      </w:r>
      <w:r w:rsidRPr="00EF083B">
        <w:rPr>
          <w:i/>
        </w:rPr>
        <w:t>.</w:t>
      </w:r>
      <w:r>
        <w:t xml:space="preserve"> Manejo Forestal Sustentable</w:t>
      </w:r>
    </w:p>
    <w:p w:rsidR="00835745" w:rsidRDefault="00835745" w:rsidP="00835745">
      <w:r>
        <w:t>El acuífero HLOP si bien, presenta una extensión forestal perfectamente identificada al noreste, sureste y suroeste de su poligonal, también presenta una importante problemática en términos de su manejo adecuado. Se identifican zonas de tala ilegal y manejo inapropiado de recursos que en términos hidrológicos, alteran los procesos de captación, escurrimiento  e infiltración de volúmenes de agua de lluvia, y por ende, alteran el ciclo del agua en la región de Huamantla-Libres Oriental-Perote.</w:t>
      </w:r>
    </w:p>
    <w:p w:rsidR="00835745" w:rsidRDefault="00835745" w:rsidP="00835745">
      <w:r>
        <w:t xml:space="preserve">Se reconoce que un ecosistema forestal optimizado permite acrecentar los beneficios tangibles e intangibles que ofrece (servicios ambientales), pero ello requiere de la estructuración de alternativas de manejo adecuado. Dado que el COTAS no tiene un campo de acción perfectamente establecido, se pretenden sentar las bases de participación y colaboración para el diseño y puesta en marcha de las iniciativas de manejo sustentable en </w:t>
      </w:r>
      <w:r w:rsidRPr="00F01616">
        <w:rPr>
          <w:i/>
        </w:rPr>
        <w:t>Zonas Estratégicas de Conservación</w:t>
      </w:r>
      <w:r>
        <w:t xml:space="preserve"> para el presente estudio.</w:t>
      </w:r>
    </w:p>
    <w:p w:rsidR="00835745" w:rsidRDefault="00835745" w:rsidP="00835745">
      <w:r>
        <w:t xml:space="preserve">Existen cuatro regiones se consideradas en este estudio como </w:t>
      </w:r>
      <w:r w:rsidRPr="00D10A7B">
        <w:rPr>
          <w:i/>
        </w:rPr>
        <w:t>Zonas Estratégicas de Conservación</w:t>
      </w:r>
      <w:r>
        <w:t xml:space="preserve">  ya que son las principales regiones de recarga del acuífero Huamantla-Libres Oriental-Perote, por lo que es necesario que las medidas de protección a cada una de ellas se transforme en resultados relevantes en términos de captación e infiltración de agua de lluvia.</w:t>
      </w:r>
    </w:p>
    <w:p w:rsidR="00835745" w:rsidRDefault="00835745" w:rsidP="00835745">
      <w:r>
        <w:t xml:space="preserve">Para este caso el COTASA Huamantla-Libres Oriental-Perote, a través de su Gerencia Operativa o grupo auxiliar al interior de ésta, deberá revisar los avances a aquellos programas de fomento y desarrollo forestal en el menos estas cuatro </w:t>
      </w:r>
      <w:r w:rsidRPr="00D055D2">
        <w:rPr>
          <w:i/>
        </w:rPr>
        <w:t>Zonas Estratégicas de Conservación</w:t>
      </w:r>
      <w:r>
        <w:t xml:space="preserve">, debiendo realizar consulta y entrevistas con representaciones de dependencias federales, estatales y municipales. </w:t>
      </w:r>
    </w:p>
    <w:p w:rsidR="00835745" w:rsidRDefault="00835745" w:rsidP="00835745">
      <w:r>
        <w:t xml:space="preserve">Se considera que esta Línea de Acción es de tipo permanente dado la relevancia que presenta a los zonas de recarga del acuífero HLOP, por lo cual, el financiamiento requerido contempla erogaciones en términos de transportación, alimentación, hospedaje, adquisición de material bibliográfico impreso y digital, así como insumos de oficina, todo esto para la totalidad del horizonte de planeación. Por lo anterior, se considera que la inversión anual para este rubro es de $ 450,000 M.N. llegando a  13.5 MDP de inversión total en periodo de planeación. </w:t>
      </w:r>
    </w:p>
    <w:p w:rsidR="000F3AF4" w:rsidRDefault="000F3AF4" w:rsidP="000F3AF4">
      <w:pPr>
        <w:ind w:firstLine="0"/>
      </w:pPr>
      <w:r w:rsidRPr="00EF083B">
        <w:rPr>
          <w:i/>
        </w:rPr>
        <w:t xml:space="preserve">Línea de acción </w:t>
      </w:r>
      <w:r>
        <w:rPr>
          <w:i/>
        </w:rPr>
        <w:t>3.3.4</w:t>
      </w:r>
      <w:r w:rsidRPr="00EF083B">
        <w:rPr>
          <w:i/>
        </w:rPr>
        <w:t>.</w:t>
      </w:r>
      <w:r>
        <w:t xml:space="preserve"> Programa de recuperación de suelos</w:t>
      </w:r>
    </w:p>
    <w:p w:rsidR="00835745" w:rsidRDefault="00835745" w:rsidP="00835745">
      <w:r>
        <w:t xml:space="preserve">La configuración hidrológica destaca que los escurrimientos de mayor importancia para el acuífero HLOP se generan en zonas de pendiente y altitud considerable. Regiones del Volcán La Malinche, Pico de Orizaba y Cofre de Perote se identifican hoy día como zonas para la recuperación y conservación de áreas degradadas. La desaparición y/o alteración de la cubierta </w:t>
      </w:r>
      <w:r>
        <w:lastRenderedPageBreak/>
        <w:t xml:space="preserve">vegetal implica la remoción de suelo por efecto de las gotas de lluvia, por ende, la producción de sedimentos alteran la capacidad de carga hidrológica de los cauces, tanto en sitios cercanos donde se presenta la erosión como en sitios lejanos a ella. </w:t>
      </w:r>
    </w:p>
    <w:p w:rsidR="00835745" w:rsidRDefault="00835745" w:rsidP="00835745">
      <w:r>
        <w:t>Es preciso detallar las zonas de degradación física que inciden en la apropiada continuidad de los procesos hidrológicos en la cuenca de Oriental. Igualmente, deberá describirse de manera convincente el nivel de desarrollo de suelos degradados y las alternativas de recuperación, protección y compensación adecuadas para la región.</w:t>
      </w:r>
    </w:p>
    <w:p w:rsidR="00835745" w:rsidRDefault="00835745" w:rsidP="00835745">
      <w:r>
        <w:t>El presente Plan de Manejo establece que para esta Línea de Acción se realizarán dos actividades específicas:</w:t>
      </w:r>
    </w:p>
    <w:p w:rsidR="00835745" w:rsidRDefault="00835745" w:rsidP="000E30F2">
      <w:pPr>
        <w:numPr>
          <w:ilvl w:val="0"/>
          <w:numId w:val="111"/>
        </w:numPr>
      </w:pPr>
      <w:r>
        <w:t>Programa de recuperación de suelos mediante obras de control de la erosión y/o degradación edafológica</w:t>
      </w:r>
    </w:p>
    <w:p w:rsidR="00835745" w:rsidRDefault="00835745" w:rsidP="000E30F2">
      <w:pPr>
        <w:numPr>
          <w:ilvl w:val="0"/>
          <w:numId w:val="111"/>
        </w:numPr>
      </w:pPr>
      <w:r>
        <w:t>Programa de mantenimiento de obras de recuperación de suelo</w:t>
      </w:r>
    </w:p>
    <w:p w:rsidR="00835745" w:rsidRDefault="00835745" w:rsidP="00835745">
      <w:r>
        <w:t>Para el caso de la presente Línea de Acción el Plan de Manejo estima que el financiamiento necesario es de 67.5 MDP en el horizonte de planeación manejado en este documento, por lo cual, anualmente oscila los 2.5 MDP.</w:t>
      </w:r>
    </w:p>
    <w:p w:rsidR="000F3AF4" w:rsidRDefault="000F3AF4" w:rsidP="000F3AF4">
      <w:pPr>
        <w:ind w:firstLine="0"/>
      </w:pPr>
      <w:r w:rsidRPr="00EF083B">
        <w:rPr>
          <w:i/>
        </w:rPr>
        <w:t xml:space="preserve">Línea de acción </w:t>
      </w:r>
      <w:r>
        <w:rPr>
          <w:i/>
        </w:rPr>
        <w:t>3.3.5</w:t>
      </w:r>
      <w:r w:rsidRPr="00EF083B">
        <w:rPr>
          <w:i/>
        </w:rPr>
        <w:t>.</w:t>
      </w:r>
      <w:r>
        <w:t xml:space="preserve"> Protección a la biodiversidad</w:t>
      </w:r>
    </w:p>
    <w:p w:rsidR="00835745" w:rsidRDefault="00835745" w:rsidP="00835745">
      <w:r>
        <w:t xml:space="preserve">La pérdida del capital biológico no siempre  se reviste de importancia al momento de desarrollar un planeación regional. La subestimación de la función e importancia del conjunto biótico flora-fauna generalmente adquiere niveles de interés bajo o francamente nulo, sin entender que el medio ambiente es un sistema </w:t>
      </w:r>
      <w:proofErr w:type="spellStart"/>
      <w:r>
        <w:t>multiespecífico</w:t>
      </w:r>
      <w:proofErr w:type="spellEnd"/>
      <w:r>
        <w:t xml:space="preserve"> y multitemporal, en el cual, la modificación de algunos de sus componentes propicia la alteración de la calidad del entorno en general. </w:t>
      </w:r>
    </w:p>
    <w:p w:rsidR="00835745" w:rsidRDefault="00835745" w:rsidP="00835745">
      <w:r>
        <w:t xml:space="preserve">Según Alcocer, </w:t>
      </w:r>
      <w:r w:rsidRPr="00946891">
        <w:rPr>
          <w:i/>
        </w:rPr>
        <w:t>et al</w:t>
      </w:r>
      <w:r>
        <w:t xml:space="preserve"> (2004), estudios realizados con anterioridad muestran que hace 500 años la zona de la cuenca de Oriental era netamente forestal, con un 60% de su extensión original ocupada por ecosistemas forestales y el resto de pastizales. Sin embargo, para 1983, la literatura ya describe una disminución de dicha superficie, asignándole un 21% de extensión, mientras que el suelo agrícola ya representaba el 55%. </w:t>
      </w:r>
    </w:p>
    <w:p w:rsidR="00835745" w:rsidRDefault="00835745" w:rsidP="00835745">
      <w:r>
        <w:t>Tomando en cuenta las condiciones ecosistemas que Alcocer y colaboradores mencionan, y observando en tipo de vegetación actual, de corroborarse, la zona estaría sufriendo una transición climática de condiciones templadas a semiáridas, situación que implica un cambio negativo en la disponibilidad del recurso hídrico.</w:t>
      </w:r>
    </w:p>
    <w:p w:rsidR="00835745" w:rsidRDefault="00835745" w:rsidP="00835745">
      <w:r>
        <w:t xml:space="preserve">Por otra parte, en el pasado, la dinámica del ciclo hidrológico propició que las descargas naturales del acuífero Huamantla-Libres Oriental-Perote sustentaran cuerpos de agua superficial como los lagos de Totolcingo, El Salado y varios </w:t>
      </w:r>
      <w:proofErr w:type="spellStart"/>
      <w:r>
        <w:t>axalapascos</w:t>
      </w:r>
      <w:proofErr w:type="spellEnd"/>
      <w:r>
        <w:t xml:space="preserve">. Dicha estabilidad </w:t>
      </w:r>
      <w:proofErr w:type="spellStart"/>
      <w:r>
        <w:t>hidro</w:t>
      </w:r>
      <w:proofErr w:type="spellEnd"/>
      <w:r>
        <w:t xml:space="preserve">-ecológica permitió el desarrollo de ecosistemas acuáticos y </w:t>
      </w:r>
      <w:proofErr w:type="spellStart"/>
      <w:r>
        <w:t>semiacuáticos</w:t>
      </w:r>
      <w:proofErr w:type="spellEnd"/>
      <w:r>
        <w:t xml:space="preserve">, que favorecieron el desarrollo de especies endémicas y poblaciones de aves locales y migratorias. Desafortunadamente, las alteraciones hidrológicas han transformado tales ecosistemas al grado de poner en peligro la </w:t>
      </w:r>
      <w:r>
        <w:lastRenderedPageBreak/>
        <w:t xml:space="preserve">existencia de especies endémicas protegidas, y algunas otras que son sustento para pobladores locales. </w:t>
      </w:r>
    </w:p>
    <w:p w:rsidR="00835745" w:rsidRPr="005A5267" w:rsidRDefault="00835745" w:rsidP="00835745">
      <w:pPr>
        <w:pStyle w:val="Figura1cap12"/>
        <w:rPr>
          <w:lang w:val="es-MX"/>
        </w:rPr>
      </w:pPr>
      <w:bookmarkStart w:id="198" w:name="_Toc273962877"/>
      <w:r w:rsidRPr="005A5267">
        <w:rPr>
          <w:lang w:val="es-MX"/>
        </w:rPr>
        <w:t xml:space="preserve">Cambio </w:t>
      </w:r>
      <w:proofErr w:type="spellStart"/>
      <w:r w:rsidRPr="005A5267">
        <w:rPr>
          <w:lang w:val="es-MX"/>
        </w:rPr>
        <w:t>hidro</w:t>
      </w:r>
      <w:proofErr w:type="spellEnd"/>
      <w:r w:rsidRPr="005A5267">
        <w:rPr>
          <w:lang w:val="es-MX"/>
        </w:rPr>
        <w:t xml:space="preserve">-ecológico en la zona de estudio por efecto de </w:t>
      </w:r>
      <w:proofErr w:type="spellStart"/>
      <w:r w:rsidRPr="005A5267">
        <w:rPr>
          <w:lang w:val="es-MX"/>
        </w:rPr>
        <w:t>sobreaprovechamiento</w:t>
      </w:r>
      <w:proofErr w:type="spellEnd"/>
      <w:r w:rsidRPr="005A5267">
        <w:rPr>
          <w:lang w:val="es-MX"/>
        </w:rPr>
        <w:t xml:space="preserve"> de agua subterránea</w:t>
      </w:r>
      <w:bookmarkEnd w:id="198"/>
      <w:r w:rsidRPr="005A5267">
        <w:rPr>
          <w:lang w:val="es-MX"/>
        </w:rPr>
        <w:t xml:space="preserve"> </w:t>
      </w:r>
    </w:p>
    <w:p w:rsidR="00835745" w:rsidRDefault="008011C2" w:rsidP="00835745">
      <w:pPr>
        <w:ind w:firstLine="0"/>
        <w:jc w:val="center"/>
      </w:pPr>
      <w:r>
        <w:rPr>
          <w:noProof/>
          <w:lang w:eastAsia="es-MX"/>
        </w:rPr>
        <w:drawing>
          <wp:inline distT="0" distB="0" distL="0" distR="0">
            <wp:extent cx="6064956" cy="3533775"/>
            <wp:effectExtent l="0" t="0" r="2469" b="0"/>
            <wp:docPr id="67" name="Objeto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022208" cy="5066470"/>
                      <a:chOff x="14288" y="1628800"/>
                      <a:chExt cx="9022208" cy="5066470"/>
                    </a:xfrm>
                  </a:grpSpPr>
                  <a:sp>
                    <a:nvSpPr>
                      <a:cNvPr id="5" name="4 Marcador de texto"/>
                      <a:cNvSpPr>
                        <a:spLocks noGrp="1"/>
                      </a:cNvSpPr>
                    </a:nvSpPr>
                    <a:spPr>
                      <a:xfrm>
                        <a:off x="14288" y="1628800"/>
                        <a:ext cx="4485704" cy="502920"/>
                      </a:xfrm>
                      <a:prstGeom prst="rect">
                        <a:avLst/>
                      </a:prstGeom>
                    </a:spPr>
                    <a:txSp>
                      <a:txBody>
                        <a:bodyPr vert="horz" lIns="91440" anchor="b">
                          <a:noAutofit/>
                        </a:bodyPr>
                        <a:lstStyle>
                          <a:lvl1pPr marL="320040" indent="-320040" algn="l" rtl="0" eaLnBrk="1" latinLnBrk="0" hangingPunct="1">
                            <a:spcBef>
                              <a:spcPct val="20000"/>
                            </a:spcBef>
                            <a:buClr>
                              <a:schemeClr val="accent1"/>
                            </a:buClr>
                            <a:buSzPct val="70000"/>
                            <a:buFont typeface="Wingdings 2"/>
                            <a:buNone/>
                            <a:defRPr sz="2200" b="1" kern="1200">
                              <a:solidFill>
                                <a:schemeClr val="tx1"/>
                              </a:solidFill>
                              <a:effectLst>
                                <a:outerShdw blurRad="38000" dist="38000" dir="2700000" algn="tl" rotWithShape="0">
                                  <a:schemeClr val="bg2">
                                    <a:shade val="45000"/>
                                    <a:satMod val="150000"/>
                                    <a:alpha val="90000"/>
                                  </a:schemeClr>
                                </a:outerShdw>
                              </a:effectLst>
                              <a:latin typeface="+mn-lt"/>
                              <a:ea typeface="+mn-ea"/>
                              <a:cs typeface="+mn-cs"/>
                            </a:defRPr>
                          </a:lvl1pPr>
                          <a:lvl2pPr marL="630936" indent="-274320" algn="l" rtl="0" eaLnBrk="1" latinLnBrk="0" hangingPunct="1">
                            <a:spcBef>
                              <a:spcPct val="20000"/>
                            </a:spcBef>
                            <a:buClr>
                              <a:schemeClr val="accent2"/>
                            </a:buClr>
                            <a:buFont typeface="Wingdings 2"/>
                            <a:buNone/>
                            <a:defRPr sz="2000" b="1" kern="1200">
                              <a:solidFill>
                                <a:schemeClr val="tx1"/>
                              </a:solidFill>
                              <a:latin typeface="+mn-lt"/>
                              <a:ea typeface="+mn-ea"/>
                              <a:cs typeface="+mn-cs"/>
                            </a:defRPr>
                          </a:lvl2pPr>
                          <a:lvl3pPr marL="923544" indent="-274320" algn="l" rtl="0" eaLnBrk="1" latinLnBrk="0" hangingPunct="1">
                            <a:spcBef>
                              <a:spcPct val="20000"/>
                            </a:spcBef>
                            <a:buClr>
                              <a:schemeClr val="accent3"/>
                            </a:buClr>
                            <a:buFont typeface="Wingdings 2"/>
                            <a:buNone/>
                            <a:defRPr sz="1800" b="1" kern="1200">
                              <a:solidFill>
                                <a:schemeClr val="tx1"/>
                              </a:solidFill>
                              <a:latin typeface="+mn-lt"/>
                              <a:ea typeface="+mn-ea"/>
                              <a:cs typeface="+mn-cs"/>
                            </a:defRPr>
                          </a:lvl3pPr>
                          <a:lvl4pPr marL="1188720" indent="-228600" algn="l" rtl="0" eaLnBrk="1" latinLnBrk="0" hangingPunct="1">
                            <a:spcBef>
                              <a:spcPct val="20000"/>
                            </a:spcBef>
                            <a:buClr>
                              <a:schemeClr val="accent4"/>
                            </a:buClr>
                            <a:buFont typeface="Wingdings 2"/>
                            <a:buNone/>
                            <a:defRPr sz="1600" b="1" kern="1200">
                              <a:solidFill>
                                <a:schemeClr val="tx1"/>
                              </a:solidFill>
                              <a:latin typeface="+mn-lt"/>
                              <a:ea typeface="+mn-ea"/>
                              <a:cs typeface="+mn-cs"/>
                            </a:defRPr>
                          </a:lvl4pPr>
                          <a:lvl5pPr marL="1426464" indent="-228600" algn="l" rtl="0" eaLnBrk="1" latinLnBrk="0" hangingPunct="1">
                            <a:spcBef>
                              <a:spcPct val="20000"/>
                            </a:spcBef>
                            <a:buClr>
                              <a:schemeClr val="accent5"/>
                            </a:buClr>
                            <a:buFont typeface="Wingdings 2"/>
                            <a:buNone/>
                            <a:defRPr sz="1600" b="1" kern="1200">
                              <a:solidFill>
                                <a:schemeClr val="tx1"/>
                              </a:solidFill>
                              <a:latin typeface="+mn-lt"/>
                              <a:ea typeface="+mn-ea"/>
                              <a:cs typeface="+mn-cs"/>
                            </a:defRPr>
                          </a:lvl5pPr>
                          <a:lvl6pPr marL="1673352" indent="-228600" algn="l" rtl="0" eaLnBrk="1" latinLnBrk="0" hangingPunct="1">
                            <a:spcBef>
                              <a:spcPct val="20000"/>
                            </a:spcBef>
                            <a:buClr>
                              <a:schemeClr val="accent6"/>
                            </a:buClr>
                            <a:buFont typeface="Wingdings 2"/>
                            <a:buChar char=""/>
                            <a:defRPr sz="1800" kern="1200">
                              <a:solidFill>
                                <a:schemeClr val="tx1"/>
                              </a:solidFill>
                              <a:latin typeface="+mn-lt"/>
                              <a:ea typeface="+mn-ea"/>
                              <a:cs typeface="+mn-cs"/>
                            </a:defRPr>
                          </a:lvl6pPr>
                          <a:lvl7pPr marL="1911096" indent="-228600" algn="l" rtl="0" eaLnBrk="1" latinLnBrk="0" hangingPunct="1">
                            <a:spcBef>
                              <a:spcPct val="20000"/>
                            </a:spcBef>
                            <a:buClr>
                              <a:schemeClr val="tx2"/>
                            </a:buClr>
                            <a:buFont typeface="Wingdings 2"/>
                            <a:buChar char=""/>
                            <a:defRPr sz="1600" kern="1200">
                              <a:solidFill>
                                <a:schemeClr val="tx1"/>
                              </a:solidFill>
                              <a:latin typeface="+mn-lt"/>
                              <a:ea typeface="+mn-ea"/>
                              <a:cs typeface="+mn-cs"/>
                            </a:defRPr>
                          </a:lvl7pPr>
                          <a:lvl8pPr marL="2121408" indent="-182880" algn="l" rtl="0" eaLnBrk="1" latinLnBrk="0" hangingPunct="1">
                            <a:spcBef>
                              <a:spcPct val="20000"/>
                            </a:spcBef>
                            <a:buClr>
                              <a:schemeClr val="tx2"/>
                            </a:buClr>
                            <a:buFont typeface="Wingdings 2"/>
                            <a:buChar char=""/>
                            <a:defRPr sz="1400" kern="1200">
                              <a:solidFill>
                                <a:schemeClr val="tx1"/>
                              </a:solidFill>
                              <a:latin typeface="+mn-lt"/>
                              <a:ea typeface="+mn-ea"/>
                              <a:cs typeface="+mn-cs"/>
                            </a:defRPr>
                          </a:lvl8pPr>
                          <a:lvl9pPr marL="2322576" indent="-182880" algn="l" rtl="0" eaLnBrk="1" latinLnBrk="0" hangingPunct="1">
                            <a:spcBef>
                              <a:spcPct val="20000"/>
                            </a:spcBef>
                            <a:buClr>
                              <a:schemeClr val="tx2"/>
                            </a:buClr>
                            <a:buFont typeface="Wingdings 2"/>
                            <a:buChar char=""/>
                            <a:defRPr sz="1400" kern="1200">
                              <a:solidFill>
                                <a:schemeClr val="tx1"/>
                              </a:solidFill>
                              <a:latin typeface="+mn-lt"/>
                              <a:ea typeface="+mn-ea"/>
                              <a:cs typeface="+mn-cs"/>
                            </a:defRPr>
                          </a:lvl9pPr>
                        </a:lstStyle>
                        <a:p>
                          <a:pPr algn="ctr"/>
                          <a:r>
                            <a:rPr lang="es-MX" dirty="0" smtClean="0">
                              <a:solidFill>
                                <a:schemeClr val="tx1"/>
                              </a:solidFill>
                            </a:rPr>
                            <a:t>Situación Original</a:t>
                          </a:r>
                          <a:endParaRPr lang="es-MX" dirty="0">
                            <a:solidFill>
                              <a:schemeClr val="tx1"/>
                            </a:solidFill>
                          </a:endParaRPr>
                        </a:p>
                      </a:txBody>
                      <a:useSpRect/>
                    </a:txSp>
                  </a:sp>
                  <a:sp>
                    <a:nvSpPr>
                      <a:cNvPr id="7" name="6 Marcador de texto"/>
                      <a:cNvSpPr>
                        <a:spLocks noGrp="1"/>
                      </a:cNvSpPr>
                    </a:nvSpPr>
                    <a:spPr>
                      <a:xfrm>
                        <a:off x="4628070" y="1700808"/>
                        <a:ext cx="4041775" cy="648072"/>
                      </a:xfrm>
                      <a:prstGeom prst="rect">
                        <a:avLst/>
                      </a:prstGeom>
                    </a:spPr>
                    <a:txSp>
                      <a:txBody>
                        <a:bodyPr vert="horz" lIns="91440" anchor="b">
                          <a:noAutofit/>
                        </a:bodyPr>
                        <a:lstStyle>
                          <a:lvl1pPr marL="320040" indent="-320040" algn="l" rtl="0" eaLnBrk="1" latinLnBrk="0" hangingPunct="1">
                            <a:spcBef>
                              <a:spcPct val="20000"/>
                            </a:spcBef>
                            <a:buClr>
                              <a:schemeClr val="accent1"/>
                            </a:buClr>
                            <a:buSzPct val="70000"/>
                            <a:buFont typeface="Wingdings 2"/>
                            <a:buNone/>
                            <a:defRPr sz="2200" b="1" kern="1200">
                              <a:solidFill>
                                <a:schemeClr val="tx1"/>
                              </a:solidFill>
                              <a:effectLst>
                                <a:outerShdw blurRad="30000" dist="30000" dir="2700000" algn="tl" rotWithShape="0">
                                  <a:schemeClr val="bg2">
                                    <a:shade val="45000"/>
                                    <a:satMod val="150000"/>
                                    <a:alpha val="90000"/>
                                  </a:schemeClr>
                                </a:outerShdw>
                              </a:effectLst>
                              <a:latin typeface="+mn-lt"/>
                              <a:ea typeface="+mn-ea"/>
                              <a:cs typeface="+mn-cs"/>
                            </a:defRPr>
                          </a:lvl1pPr>
                          <a:lvl2pPr marL="630936" indent="-274320" algn="l" rtl="0" eaLnBrk="1" latinLnBrk="0" hangingPunct="1">
                            <a:spcBef>
                              <a:spcPct val="20000"/>
                            </a:spcBef>
                            <a:buClr>
                              <a:schemeClr val="accent2"/>
                            </a:buClr>
                            <a:buFont typeface="Wingdings 2"/>
                            <a:buNone/>
                            <a:defRPr sz="2000" b="1" kern="1200">
                              <a:solidFill>
                                <a:schemeClr val="tx1"/>
                              </a:solidFill>
                              <a:latin typeface="+mn-lt"/>
                              <a:ea typeface="+mn-ea"/>
                              <a:cs typeface="+mn-cs"/>
                            </a:defRPr>
                          </a:lvl2pPr>
                          <a:lvl3pPr marL="923544" indent="-274320" algn="l" rtl="0" eaLnBrk="1" latinLnBrk="0" hangingPunct="1">
                            <a:spcBef>
                              <a:spcPct val="20000"/>
                            </a:spcBef>
                            <a:buClr>
                              <a:schemeClr val="accent3"/>
                            </a:buClr>
                            <a:buFont typeface="Wingdings 2"/>
                            <a:buNone/>
                            <a:defRPr sz="1800" b="1" kern="1200">
                              <a:solidFill>
                                <a:schemeClr val="tx1"/>
                              </a:solidFill>
                              <a:latin typeface="+mn-lt"/>
                              <a:ea typeface="+mn-ea"/>
                              <a:cs typeface="+mn-cs"/>
                            </a:defRPr>
                          </a:lvl3pPr>
                          <a:lvl4pPr marL="1188720" indent="-228600" algn="l" rtl="0" eaLnBrk="1" latinLnBrk="0" hangingPunct="1">
                            <a:spcBef>
                              <a:spcPct val="20000"/>
                            </a:spcBef>
                            <a:buClr>
                              <a:schemeClr val="accent4"/>
                            </a:buClr>
                            <a:buFont typeface="Wingdings 2"/>
                            <a:buNone/>
                            <a:defRPr sz="1600" b="1" kern="1200">
                              <a:solidFill>
                                <a:schemeClr val="tx1"/>
                              </a:solidFill>
                              <a:latin typeface="+mn-lt"/>
                              <a:ea typeface="+mn-ea"/>
                              <a:cs typeface="+mn-cs"/>
                            </a:defRPr>
                          </a:lvl4pPr>
                          <a:lvl5pPr marL="1426464" indent="-228600" algn="l" rtl="0" eaLnBrk="1" latinLnBrk="0" hangingPunct="1">
                            <a:spcBef>
                              <a:spcPct val="20000"/>
                            </a:spcBef>
                            <a:buClr>
                              <a:schemeClr val="accent5"/>
                            </a:buClr>
                            <a:buFont typeface="Wingdings 2"/>
                            <a:buNone/>
                            <a:defRPr sz="1600" b="1" kern="1200">
                              <a:solidFill>
                                <a:schemeClr val="tx1"/>
                              </a:solidFill>
                              <a:latin typeface="+mn-lt"/>
                              <a:ea typeface="+mn-ea"/>
                              <a:cs typeface="+mn-cs"/>
                            </a:defRPr>
                          </a:lvl5pPr>
                          <a:lvl6pPr marL="1673352" indent="-228600" algn="l" rtl="0" eaLnBrk="1" latinLnBrk="0" hangingPunct="1">
                            <a:spcBef>
                              <a:spcPct val="20000"/>
                            </a:spcBef>
                            <a:buClr>
                              <a:schemeClr val="accent6"/>
                            </a:buClr>
                            <a:buFont typeface="Wingdings 2"/>
                            <a:buChar char=""/>
                            <a:defRPr sz="1800" kern="1200">
                              <a:solidFill>
                                <a:schemeClr val="tx1"/>
                              </a:solidFill>
                              <a:latin typeface="+mn-lt"/>
                              <a:ea typeface="+mn-ea"/>
                              <a:cs typeface="+mn-cs"/>
                            </a:defRPr>
                          </a:lvl6pPr>
                          <a:lvl7pPr marL="1911096" indent="-228600" algn="l" rtl="0" eaLnBrk="1" latinLnBrk="0" hangingPunct="1">
                            <a:spcBef>
                              <a:spcPct val="20000"/>
                            </a:spcBef>
                            <a:buClr>
                              <a:schemeClr val="tx2"/>
                            </a:buClr>
                            <a:buFont typeface="Wingdings 2"/>
                            <a:buChar char=""/>
                            <a:defRPr sz="1600" kern="1200">
                              <a:solidFill>
                                <a:schemeClr val="tx1"/>
                              </a:solidFill>
                              <a:latin typeface="+mn-lt"/>
                              <a:ea typeface="+mn-ea"/>
                              <a:cs typeface="+mn-cs"/>
                            </a:defRPr>
                          </a:lvl7pPr>
                          <a:lvl8pPr marL="2121408" indent="-182880" algn="l" rtl="0" eaLnBrk="1" latinLnBrk="0" hangingPunct="1">
                            <a:spcBef>
                              <a:spcPct val="20000"/>
                            </a:spcBef>
                            <a:buClr>
                              <a:schemeClr val="tx2"/>
                            </a:buClr>
                            <a:buFont typeface="Wingdings 2"/>
                            <a:buChar char=""/>
                            <a:defRPr sz="1400" kern="1200">
                              <a:solidFill>
                                <a:schemeClr val="tx1"/>
                              </a:solidFill>
                              <a:latin typeface="+mn-lt"/>
                              <a:ea typeface="+mn-ea"/>
                              <a:cs typeface="+mn-cs"/>
                            </a:defRPr>
                          </a:lvl8pPr>
                          <a:lvl9pPr marL="2322576" indent="-182880" algn="l" rtl="0" eaLnBrk="1" latinLnBrk="0" hangingPunct="1">
                            <a:spcBef>
                              <a:spcPct val="20000"/>
                            </a:spcBef>
                            <a:buClr>
                              <a:schemeClr val="tx2"/>
                            </a:buClr>
                            <a:buFont typeface="Wingdings 2"/>
                            <a:buChar char=""/>
                            <a:defRPr sz="1400" kern="1200">
                              <a:solidFill>
                                <a:schemeClr val="tx1"/>
                              </a:solidFill>
                              <a:latin typeface="+mn-lt"/>
                              <a:ea typeface="+mn-ea"/>
                              <a:cs typeface="+mn-cs"/>
                            </a:defRPr>
                          </a:lvl9pPr>
                        </a:lstStyle>
                        <a:p>
                          <a:pPr algn="ctr"/>
                          <a:r>
                            <a:rPr lang="es-MX" dirty="0" smtClean="0">
                              <a:solidFill>
                                <a:schemeClr val="tx1"/>
                              </a:solidFill>
                            </a:rPr>
                            <a:t>Situación actual durante estiaje y años secos</a:t>
                          </a:r>
                          <a:endParaRPr lang="es-MX" dirty="0">
                            <a:solidFill>
                              <a:schemeClr val="tx1"/>
                            </a:solidFill>
                          </a:endParaRPr>
                        </a:p>
                      </a:txBody>
                      <a:useSpRect/>
                    </a:txSp>
                  </a:sp>
                  <a:pic>
                    <a:nvPicPr>
                      <a:cNvPr id="11" name="Imagen 2"/>
                      <a:cNvPicPr>
                        <a:picLocks noGrp="1" noChangeAspect="1" noChangeArrowheads="1"/>
                      </a:cNvPicPr>
                    </a:nvPicPr>
                    <a:blipFill>
                      <a:blip r:embed="rId90" cstate="print">
                        <a:extLst>
                          <a:ext uri="{28A0092B-C50C-407E-A947-70E740481C1C}"/>
                        </a:extLst>
                      </a:blip>
                      <a:stretch>
                        <a:fillRect/>
                      </a:stretch>
                    </a:blipFill>
                    <a:spPr bwMode="auto">
                      <a:xfrm>
                        <a:off x="36512" y="2691677"/>
                        <a:ext cx="4460876" cy="3983957"/>
                      </a:xfrm>
                      <a:prstGeom prst="rect">
                        <a:avLst/>
                      </a:prstGeom>
                      <a:noFill/>
                      <a:ln>
                        <a:noFill/>
                      </a:ln>
                      <a:effectLst/>
                      <a:extLst>
                        <a:ext uri="{909E8E84-426E-40DD-AFC4-6F175D3DCCD1}"/>
                        <a:ext uri="{91240B29-F687-4F45-9708-019B960494DF}"/>
                        <a:ext uri="{AF507438-7753-43E0-B8FC-AC1667EBCBE1}"/>
                      </a:extLst>
                    </a:spPr>
                  </a:pic>
                  <a:pic>
                    <a:nvPicPr>
                      <a:cNvPr id="12" name="Imagen 3"/>
                      <a:cNvPicPr>
                        <a:picLocks noGrp="1" noChangeAspect="1" noChangeArrowheads="1"/>
                      </a:cNvPicPr>
                    </a:nvPicPr>
                    <a:blipFill>
                      <a:blip r:embed="rId91" cstate="print">
                        <a:extLst>
                          <a:ext uri="{28A0092B-C50C-407E-A947-70E740481C1C}"/>
                        </a:extLst>
                      </a:blip>
                      <a:stretch>
                        <a:fillRect/>
                      </a:stretch>
                    </a:blipFill>
                    <a:spPr bwMode="auto">
                      <a:xfrm>
                        <a:off x="4537521" y="2702126"/>
                        <a:ext cx="4498975" cy="3993144"/>
                      </a:xfrm>
                      <a:prstGeom prst="rect">
                        <a:avLst/>
                      </a:prstGeom>
                      <a:noFill/>
                      <a:ln>
                        <a:noFill/>
                      </a:ln>
                      <a:effectLst/>
                      <a:extLst>
                        <a:ext uri="{909E8E84-426E-40DD-AFC4-6F175D3DCCD1}"/>
                        <a:ext uri="{91240B29-F687-4F45-9708-019B960494DF}"/>
                        <a:ext uri="{AF507438-7753-43E0-B8FC-AC1667EBCBE1}"/>
                      </a:extLst>
                    </a:spPr>
                  </a:pic>
                </lc:lockedCanvas>
              </a:graphicData>
            </a:graphic>
          </wp:inline>
        </w:drawing>
      </w:r>
    </w:p>
    <w:p w:rsidR="00835745" w:rsidRDefault="00835745" w:rsidP="00835745">
      <w:r>
        <w:t xml:space="preserve">Esta Línea de Acción presenta una actividad especifica: Asesoría Técnica para el Establecimiento de Unidades de Recuperación de Especias, mejor conocidas como </w:t>
      </w:r>
      <w:proofErr w:type="spellStart"/>
      <w:r>
        <w:t>UMA’s</w:t>
      </w:r>
      <w:proofErr w:type="spellEnd"/>
      <w:r>
        <w:t>. Se estima que el financiamiento a largo plazo es de 9 MDP, con una inversión anual aproximada de $300,000 M.N.</w:t>
      </w:r>
    </w:p>
    <w:p w:rsidR="000F3AF4" w:rsidRDefault="000F3AF4" w:rsidP="000F3AF4">
      <w:pPr>
        <w:ind w:firstLine="0"/>
      </w:pPr>
      <w:r w:rsidRPr="00EF083B">
        <w:rPr>
          <w:i/>
        </w:rPr>
        <w:t xml:space="preserve">Línea de acción </w:t>
      </w:r>
      <w:r>
        <w:rPr>
          <w:i/>
        </w:rPr>
        <w:t>3.3.6</w:t>
      </w:r>
      <w:r w:rsidRPr="00EF083B">
        <w:rPr>
          <w:i/>
        </w:rPr>
        <w:t>.</w:t>
      </w:r>
      <w:r>
        <w:t xml:space="preserve"> Reconversión de sistemas productivos</w:t>
      </w:r>
    </w:p>
    <w:p w:rsidR="00835745" w:rsidRDefault="00835745" w:rsidP="00835745">
      <w:r>
        <w:t xml:space="preserve">A través de estudios previos, se reconoce que en la cuenca de Oriental sean presentados procesos de transformación ambiental en los cuales se ha favorecido el incremento de la frontera agrícola, principalmente en la zona de valles. Esta situación demanda volúmenes de agua subterránea cada vez mayores, con el consabido impacto en el medio ambiente. </w:t>
      </w:r>
    </w:p>
    <w:p w:rsidR="00835745" w:rsidRDefault="00835745" w:rsidP="00835745">
      <w:r>
        <w:t xml:space="preserve">Desafortunadamente los actuales procesos de producción agrícola no presentan, en lo general, esquemas de uso sustentable de suelo y agua, además, predomina el monocultivo de especies no necesariamente adaptadas fenológicamente a las condiciones climatológicas de la zona, por ello, es necesario, realizar una reconversión de sistemas productivos que implique el empleo de variedades adaptadas, adquisición de tecnologías de aprovechamiento óptimo de agua y suelo, y cultivos potencialmente benéficos en términos económicos y sociales. </w:t>
      </w:r>
    </w:p>
    <w:p w:rsidR="00835745" w:rsidRDefault="00835745" w:rsidP="00835745">
      <w:r>
        <w:lastRenderedPageBreak/>
        <w:t xml:space="preserve">En la presente Línea de Acción se describe la necesidad de generar un estudio que aborde el diseño de prácticas adecuadas de suelo y agua en diferentes sectores: agrícola, pecuario y forestal, inicialmente intitulado: Diseño y Ejecución de Sistemas Sustentables de Producción Agrícola, Pecuaria y Forestal en Zonas Estratégicas del Acuífero Huamantla-libres Oriental-Perote. </w:t>
      </w:r>
    </w:p>
    <w:p w:rsidR="00835745" w:rsidRDefault="00835745" w:rsidP="00835745">
      <w:r>
        <w:t xml:space="preserve">Para tal efecto, se estima una inversión de 45 MDP para la totalidad del horizonte de planeación, con un presupuesto anual estimado en 1.5 MDP. </w:t>
      </w:r>
    </w:p>
    <w:p w:rsidR="000F3AF4" w:rsidRDefault="000F3AF4" w:rsidP="000F3AF4">
      <w:pPr>
        <w:ind w:firstLine="0"/>
      </w:pPr>
      <w:r w:rsidRPr="00EF083B">
        <w:rPr>
          <w:i/>
        </w:rPr>
        <w:t xml:space="preserve">Línea de acción </w:t>
      </w:r>
      <w:r>
        <w:rPr>
          <w:i/>
        </w:rPr>
        <w:t>3.3.7</w:t>
      </w:r>
      <w:r w:rsidRPr="00EF083B">
        <w:rPr>
          <w:i/>
        </w:rPr>
        <w:t>.</w:t>
      </w:r>
      <w:r>
        <w:t xml:space="preserve"> Recuperación de superficie forestal</w:t>
      </w:r>
    </w:p>
    <w:p w:rsidR="00835745" w:rsidRDefault="00835745" w:rsidP="00835745">
      <w:r>
        <w:t xml:space="preserve">El Plan de Manejo de las Aguas Subterráneas del Acuífero Huamantla-Libres Oriental-Perote reconoce la existencia de áreas arboladas que por sus características inherentes resultan en un alto atractivo desde el punto de vista económico, y por ende, son sujetas a la extracción ilegal de individuos maduros; aunado a lo anterior, el avance de la frontera agrícola ha propiciado un cambio de uso de suelo que disminuye las extensiones de reserva ecológica e incrementa el disturbio de las remanentes. Actividades como el aprovechamiento de leña, pastoreo, quema de pastizales, incendios y plagas forestales, no han hecho más que incrementar la problemática ambiental de la región; por lo anterior, el cuidado medioambiental representa un capital natural que debe ser aprovechado de manera óptima en los próximos años para asegurar la producción de bienes naturales que den sustento a la comunidad social y productiva de la región. </w:t>
      </w:r>
    </w:p>
    <w:p w:rsidR="00835745" w:rsidRDefault="00B66D0E" w:rsidP="00835745">
      <w:r>
        <w:t>L</w:t>
      </w:r>
      <w:r w:rsidR="00835745">
        <w:t xml:space="preserve">a importancia económica y social de las acciones y obras que conduzcan a restaurar el equilibrio hidrológico y ecológico de las cuencas tributarias, redundaran en el funcionamiento equilibrado de la hidrología. La protección de ecosistemas directamente involucrados en la captación de agua de lluvia, escurrimiento e infiltración se presenta como una condición para el aseguramiento de la continuidad de los ciclos hidrológicos de importancia para la zona de influencia del acuífero HLOP. </w:t>
      </w:r>
    </w:p>
    <w:tbl>
      <w:tblPr>
        <w:tblW w:w="0" w:type="auto"/>
        <w:tblLook w:val="04A0"/>
      </w:tblPr>
      <w:tblGrid>
        <w:gridCol w:w="4716"/>
        <w:gridCol w:w="5188"/>
      </w:tblGrid>
      <w:tr w:rsidR="00835745" w:rsidTr="00835745">
        <w:tc>
          <w:tcPr>
            <w:tcW w:w="4716" w:type="dxa"/>
          </w:tcPr>
          <w:p w:rsidR="00835745" w:rsidRPr="001A7174" w:rsidRDefault="00835745" w:rsidP="00835745">
            <w:pPr>
              <w:pStyle w:val="Tabla1cap12"/>
              <w:ind w:left="56" w:firstLine="10"/>
              <w:rPr>
                <w:lang w:val="es-MX"/>
              </w:rPr>
            </w:pPr>
            <w:bookmarkStart w:id="199" w:name="_Ref256586823"/>
            <w:bookmarkStart w:id="200" w:name="_Toc256598156"/>
            <w:bookmarkStart w:id="201" w:name="_Toc273962903"/>
            <w:r w:rsidRPr="001A7174">
              <w:rPr>
                <w:lang w:val="es-MX"/>
              </w:rPr>
              <w:t>Extensión de ecosistemas dentro del polígono del acuífero HLOP</w:t>
            </w:r>
            <w:bookmarkEnd w:id="199"/>
            <w:bookmarkEnd w:id="200"/>
            <w:bookmarkEnd w:id="201"/>
          </w:p>
          <w:tbl>
            <w:tblPr>
              <w:tblW w:w="4500" w:type="dxa"/>
              <w:jc w:val="center"/>
              <w:tblBorders>
                <w:top w:val="single" w:sz="12" w:space="0" w:color="008000"/>
                <w:bottom w:val="single" w:sz="12" w:space="0" w:color="008000"/>
              </w:tblBorders>
              <w:tblLook w:val="04A0"/>
            </w:tblPr>
            <w:tblGrid>
              <w:gridCol w:w="2856"/>
              <w:gridCol w:w="1644"/>
            </w:tblGrid>
            <w:tr w:rsidR="00835745" w:rsidRPr="001212C8" w:rsidTr="000E30F2">
              <w:trPr>
                <w:trHeight w:val="20"/>
                <w:jc w:val="center"/>
              </w:trPr>
              <w:tc>
                <w:tcPr>
                  <w:tcW w:w="2856" w:type="dxa"/>
                  <w:tcBorders>
                    <w:bottom w:val="single" w:sz="6" w:space="0" w:color="008000"/>
                  </w:tcBorders>
                  <w:shd w:val="clear" w:color="auto" w:fill="auto"/>
                  <w:noWrap/>
                  <w:hideMark/>
                </w:tcPr>
                <w:p w:rsidR="00835745" w:rsidRPr="001212C8" w:rsidRDefault="00835745" w:rsidP="000E30F2">
                  <w:pPr>
                    <w:spacing w:before="0" w:after="0" w:line="240" w:lineRule="auto"/>
                    <w:ind w:firstLine="0"/>
                    <w:jc w:val="center"/>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ECOSISTEMA</w:t>
                  </w:r>
                </w:p>
              </w:tc>
              <w:tc>
                <w:tcPr>
                  <w:tcW w:w="1644" w:type="dxa"/>
                  <w:tcBorders>
                    <w:bottom w:val="single" w:sz="6" w:space="0" w:color="008000"/>
                  </w:tcBorders>
                  <w:shd w:val="clear" w:color="auto" w:fill="auto"/>
                  <w:noWrap/>
                  <w:hideMark/>
                </w:tcPr>
                <w:p w:rsidR="00835745" w:rsidRPr="001212C8" w:rsidRDefault="00835745" w:rsidP="000E30F2">
                  <w:pPr>
                    <w:spacing w:before="0" w:after="0" w:line="240" w:lineRule="auto"/>
                    <w:ind w:firstLine="0"/>
                    <w:jc w:val="center"/>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EXTENSIÓN (Ha)</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BOSQUE DE ENCINO</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2,996.70</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BOSQUE DE CONIFERAS</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93,714.89</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BOSQUE MESOFILO DE MONTANA</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10,691.36</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MATORRAL XEROFILO</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40,410.80</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H2O</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452.66</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AGROPECUARIO</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361,735.45</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ZONA URBANA</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6,057.85</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PASTIZAL (HALOFILO)</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22,199.90</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VEGETACION INDUCIDA</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38,765.12</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PASTIZAL (ALTA MONTAÑA)</w:t>
                  </w:r>
                </w:p>
              </w:tc>
              <w:tc>
                <w:tcPr>
                  <w:tcW w:w="1644" w:type="dxa"/>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2,442.71</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SELVA SUBCADUCIFOLIA</w:t>
                  </w:r>
                </w:p>
              </w:tc>
              <w:tc>
                <w:tcPr>
                  <w:tcW w:w="1644" w:type="dxa"/>
                  <w:tcBorders>
                    <w:bottom w:val="nil"/>
                  </w:tcBorders>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3.96</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color w:val="000000"/>
                      <w:sz w:val="18"/>
                      <w:szCs w:val="18"/>
                      <w:lang w:eastAsia="es-MX"/>
                    </w:rPr>
                  </w:pPr>
                  <w:r w:rsidRPr="001212C8">
                    <w:rPr>
                      <w:rFonts w:ascii="Calibri" w:eastAsia="Times New Roman" w:hAnsi="Calibri" w:cs="Times New Roman"/>
                      <w:color w:val="000000"/>
                      <w:sz w:val="18"/>
                      <w:szCs w:val="18"/>
                      <w:lang w:eastAsia="es-MX"/>
                    </w:rPr>
                    <w:t>SIN VEGETACIÓN APARENTE</w:t>
                  </w:r>
                </w:p>
              </w:tc>
              <w:tc>
                <w:tcPr>
                  <w:tcW w:w="1644" w:type="dxa"/>
                  <w:tcBorders>
                    <w:top w:val="nil"/>
                    <w:bottom w:val="single" w:sz="4" w:space="0" w:color="4F6228"/>
                  </w:tcBorders>
                  <w:shd w:val="clear" w:color="auto" w:fill="auto"/>
                  <w:noWrap/>
                  <w:vAlign w:val="bottom"/>
                  <w:hideMark/>
                </w:tcPr>
                <w:p w:rsidR="00835745" w:rsidRPr="001212C8" w:rsidRDefault="00835745" w:rsidP="000E30F2">
                  <w:pPr>
                    <w:spacing w:before="0" w:after="0" w:line="240" w:lineRule="auto"/>
                    <w:jc w:val="right"/>
                    <w:rPr>
                      <w:rFonts w:ascii="Calibri" w:hAnsi="Calibri"/>
                      <w:color w:val="000000"/>
                      <w:sz w:val="18"/>
                      <w:szCs w:val="18"/>
                    </w:rPr>
                  </w:pPr>
                  <w:r w:rsidRPr="001212C8">
                    <w:rPr>
                      <w:rFonts w:ascii="Calibri" w:hAnsi="Calibri"/>
                      <w:color w:val="000000"/>
                      <w:sz w:val="18"/>
                      <w:szCs w:val="18"/>
                    </w:rPr>
                    <w:t>4,721.88</w:t>
                  </w:r>
                </w:p>
              </w:tc>
            </w:tr>
            <w:tr w:rsidR="00835745" w:rsidRPr="001212C8" w:rsidTr="000E30F2">
              <w:trPr>
                <w:trHeight w:val="20"/>
                <w:jc w:val="center"/>
              </w:trPr>
              <w:tc>
                <w:tcPr>
                  <w:tcW w:w="2856" w:type="dxa"/>
                  <w:shd w:val="clear" w:color="auto" w:fill="auto"/>
                  <w:noWrap/>
                  <w:hideMark/>
                </w:tcPr>
                <w:p w:rsidR="00835745" w:rsidRPr="001212C8" w:rsidRDefault="00835745" w:rsidP="000E30F2">
                  <w:pPr>
                    <w:spacing w:before="0" w:after="0" w:line="240" w:lineRule="auto"/>
                    <w:ind w:firstLine="0"/>
                    <w:jc w:val="left"/>
                    <w:rPr>
                      <w:rFonts w:ascii="Calibri" w:eastAsia="Times New Roman" w:hAnsi="Calibri" w:cs="Times New Roman"/>
                      <w:sz w:val="18"/>
                      <w:szCs w:val="18"/>
                      <w:lang w:eastAsia="es-MX"/>
                    </w:rPr>
                  </w:pPr>
                </w:p>
              </w:tc>
              <w:tc>
                <w:tcPr>
                  <w:tcW w:w="1644" w:type="dxa"/>
                  <w:tcBorders>
                    <w:top w:val="single" w:sz="4" w:space="0" w:color="4F6228"/>
                  </w:tcBorders>
                  <w:shd w:val="clear" w:color="auto" w:fill="auto"/>
                  <w:noWrap/>
                  <w:vAlign w:val="bottom"/>
                  <w:hideMark/>
                </w:tcPr>
                <w:p w:rsidR="00835745" w:rsidRPr="001212C8" w:rsidRDefault="00835745" w:rsidP="000E30F2">
                  <w:pPr>
                    <w:spacing w:before="0" w:after="0" w:line="240" w:lineRule="auto"/>
                    <w:jc w:val="right"/>
                    <w:rPr>
                      <w:rFonts w:ascii="Calibri" w:hAnsi="Calibri"/>
                      <w:bCs/>
                      <w:sz w:val="18"/>
                      <w:szCs w:val="18"/>
                    </w:rPr>
                  </w:pPr>
                  <w:r w:rsidRPr="001212C8">
                    <w:rPr>
                      <w:rFonts w:ascii="Calibri" w:hAnsi="Calibri"/>
                      <w:bCs/>
                      <w:sz w:val="18"/>
                      <w:szCs w:val="18"/>
                    </w:rPr>
                    <w:t>584,193.29</w:t>
                  </w:r>
                </w:p>
              </w:tc>
            </w:tr>
          </w:tbl>
          <w:p w:rsidR="00835745" w:rsidRPr="005F4957" w:rsidRDefault="00835745" w:rsidP="000E30F2">
            <w:pPr>
              <w:rPr>
                <w:rFonts w:eastAsia="Calibri"/>
                <w:sz w:val="18"/>
                <w:szCs w:val="18"/>
              </w:rPr>
            </w:pPr>
            <w:r w:rsidRPr="005F4957">
              <w:rPr>
                <w:rFonts w:eastAsia="Calibri"/>
                <w:sz w:val="18"/>
                <w:szCs w:val="18"/>
              </w:rPr>
              <w:t>Fuente: Carta Uso de Suelo y Vegetación, serie III. INEGI</w:t>
            </w:r>
          </w:p>
        </w:tc>
        <w:tc>
          <w:tcPr>
            <w:tcW w:w="5188" w:type="dxa"/>
          </w:tcPr>
          <w:p w:rsidR="00835745" w:rsidRPr="005F4957" w:rsidRDefault="00835745" w:rsidP="000E30F2">
            <w:pPr>
              <w:pStyle w:val="Grafica1cap12"/>
              <w:rPr>
                <w:rFonts w:eastAsia="Calibri"/>
                <w:szCs w:val="22"/>
                <w:lang w:val="es-MX"/>
              </w:rPr>
            </w:pPr>
            <w:bookmarkStart w:id="202" w:name="_Ref256586834"/>
            <w:bookmarkStart w:id="203" w:name="_Toc273962931"/>
            <w:r>
              <w:rPr>
                <w:rFonts w:eastAsia="Calibri"/>
                <w:szCs w:val="22"/>
                <w:lang w:val="es-MX"/>
              </w:rPr>
              <w:t>Relación de e</w:t>
            </w:r>
            <w:r w:rsidRPr="005F4957">
              <w:rPr>
                <w:rFonts w:eastAsia="Calibri"/>
                <w:szCs w:val="22"/>
                <w:lang w:val="es-MX"/>
              </w:rPr>
              <w:t>cosistemas dentro del polígono del acuífero HLOP</w:t>
            </w:r>
            <w:bookmarkEnd w:id="202"/>
            <w:bookmarkEnd w:id="203"/>
          </w:p>
          <w:p w:rsidR="00835745" w:rsidRPr="005F4957" w:rsidRDefault="008011C2" w:rsidP="000E30F2">
            <w:pPr>
              <w:ind w:hanging="321"/>
              <w:jc w:val="center"/>
              <w:rPr>
                <w:rFonts w:eastAsia="Calibri"/>
                <w:szCs w:val="22"/>
              </w:rPr>
            </w:pPr>
            <w:r>
              <w:rPr>
                <w:rFonts w:eastAsia="Calibri"/>
                <w:noProof/>
                <w:szCs w:val="22"/>
                <w:lang w:eastAsia="es-MX"/>
              </w:rPr>
              <w:drawing>
                <wp:inline distT="0" distB="0" distL="0" distR="0">
                  <wp:extent cx="2781300" cy="1657350"/>
                  <wp:effectExtent l="1905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2" cstate="print"/>
                          <a:srcRect/>
                          <a:stretch>
                            <a:fillRect/>
                          </a:stretch>
                        </pic:blipFill>
                        <pic:spPr bwMode="auto">
                          <a:xfrm>
                            <a:off x="0" y="0"/>
                            <a:ext cx="2781300" cy="1657350"/>
                          </a:xfrm>
                          <a:prstGeom prst="rect">
                            <a:avLst/>
                          </a:prstGeom>
                          <a:noFill/>
                          <a:ln w="9525">
                            <a:noFill/>
                            <a:miter lim="800000"/>
                            <a:headEnd/>
                            <a:tailEnd/>
                          </a:ln>
                        </pic:spPr>
                      </pic:pic>
                    </a:graphicData>
                  </a:graphic>
                </wp:inline>
              </w:drawing>
            </w:r>
          </w:p>
          <w:p w:rsidR="00835745" w:rsidRPr="007E17A4" w:rsidRDefault="00835745" w:rsidP="000E30F2">
            <w:pPr>
              <w:rPr>
                <w:rFonts w:eastAsia="Calibri"/>
                <w:sz w:val="16"/>
                <w:szCs w:val="16"/>
              </w:rPr>
            </w:pPr>
            <w:r w:rsidRPr="007E17A4">
              <w:rPr>
                <w:rFonts w:eastAsia="Calibri"/>
                <w:sz w:val="16"/>
                <w:szCs w:val="16"/>
              </w:rPr>
              <w:t xml:space="preserve">Fuente: Carta Uso de Suelo y Vegetación, serie III. INEGI. El rubro de Otros comprende a: cuerpos de agua; zonas urbanas, pastizal de alta montaña (pradera), y selva </w:t>
            </w:r>
            <w:proofErr w:type="spellStart"/>
            <w:r w:rsidRPr="007E17A4">
              <w:rPr>
                <w:rFonts w:eastAsia="Calibri"/>
                <w:sz w:val="16"/>
                <w:szCs w:val="16"/>
              </w:rPr>
              <w:t>subcaducifolia</w:t>
            </w:r>
            <w:proofErr w:type="spellEnd"/>
          </w:p>
        </w:tc>
      </w:tr>
    </w:tbl>
    <w:p w:rsidR="00835745" w:rsidRDefault="00835745" w:rsidP="00835745">
      <w:r>
        <w:lastRenderedPageBreak/>
        <w:t xml:space="preserve">La visión de cuenca es preponderante desde el punto de vista de la Gestión Integrada de Recursos Hídricos (GIRH), pero dado que las poligonales de las unidades geohidrológicas (acuíferos) no presentan correspondencia con las unidades de escurrimiento (cuencas hidrológicas) la complejidad en el diseño de estrategias holísticas para el manejo de cuencas requiere de esfuerzos multidisciplinarios y </w:t>
      </w:r>
      <w:proofErr w:type="spellStart"/>
      <w:r>
        <w:t>multitemporales</w:t>
      </w:r>
      <w:proofErr w:type="spellEnd"/>
      <w:r>
        <w:t xml:space="preserve"> que no siempre se cumplen por diversas causas.</w:t>
      </w:r>
    </w:p>
    <w:p w:rsidR="00835745" w:rsidRDefault="00835745" w:rsidP="00835745">
      <w:r>
        <w:t xml:space="preserve">En la </w:t>
      </w:r>
      <w:r w:rsidR="00BE2961">
        <w:fldChar w:fldCharType="begin"/>
      </w:r>
      <w:r>
        <w:instrText xml:space="preserve"> REF _Ref256588997 \r \h </w:instrText>
      </w:r>
      <w:r w:rsidR="00BE2961">
        <w:fldChar w:fldCharType="separate"/>
      </w:r>
      <w:r w:rsidR="001C36B4">
        <w:t>Figura 12.3</w:t>
      </w:r>
      <w:r w:rsidR="00BE2961">
        <w:fldChar w:fldCharType="end"/>
      </w:r>
      <w:r>
        <w:t xml:space="preserve"> se presentan las Zonas Críticas Forestales identificadas en la zona, las cuales involucran diferentes estados y municipios (</w:t>
      </w:r>
      <w:r w:rsidR="00BE2961">
        <w:fldChar w:fldCharType="begin"/>
      </w:r>
      <w:r>
        <w:instrText xml:space="preserve"> REF _Ref256589593 \r \h </w:instrText>
      </w:r>
      <w:r w:rsidR="00BE2961">
        <w:fldChar w:fldCharType="separate"/>
      </w:r>
      <w:r w:rsidR="001C36B4">
        <w:t>Tabla 12.10</w:t>
      </w:r>
      <w:r w:rsidR="00BE2961">
        <w:fldChar w:fldCharType="end"/>
      </w:r>
      <w:r>
        <w:t>). Lo sobresaliente, es que tales zonas de atención prioritaria se vinculan con remanentes de ecosistemas primarios y secundarios (conservados y alterados) directamente vinculados con el ciclo hidrológico (bosques templados; de coníferas, encinares y mesófilo de montaña).</w:t>
      </w:r>
    </w:p>
    <w:tbl>
      <w:tblPr>
        <w:tblW w:w="0" w:type="auto"/>
        <w:tblLook w:val="04A0"/>
      </w:tblPr>
      <w:tblGrid>
        <w:gridCol w:w="5353"/>
        <w:gridCol w:w="4551"/>
      </w:tblGrid>
      <w:tr w:rsidR="00835745" w:rsidTr="000E30F2">
        <w:tc>
          <w:tcPr>
            <w:tcW w:w="5353" w:type="dxa"/>
          </w:tcPr>
          <w:p w:rsidR="00835745" w:rsidRPr="005F4957" w:rsidRDefault="00835745" w:rsidP="000E30F2">
            <w:pPr>
              <w:pStyle w:val="Figura1cap12"/>
              <w:spacing w:after="60" w:line="240" w:lineRule="auto"/>
              <w:ind w:firstLine="0"/>
              <w:rPr>
                <w:rFonts w:eastAsia="Calibri"/>
                <w:szCs w:val="22"/>
                <w:lang w:val="es-MX"/>
              </w:rPr>
            </w:pPr>
            <w:bookmarkStart w:id="204" w:name="_Ref256588997"/>
            <w:bookmarkStart w:id="205" w:name="_Toc256598102"/>
            <w:bookmarkStart w:id="206" w:name="_Toc273962881"/>
            <w:r w:rsidRPr="005F4957">
              <w:rPr>
                <w:rFonts w:eastAsia="Calibri"/>
                <w:szCs w:val="22"/>
                <w:lang w:val="es-MX"/>
              </w:rPr>
              <w:t>Zonas Críticas Forestales en la zona de influencia del acuífero HLOP</w:t>
            </w:r>
            <w:bookmarkEnd w:id="204"/>
            <w:bookmarkEnd w:id="205"/>
            <w:bookmarkEnd w:id="206"/>
          </w:p>
          <w:p w:rsidR="00835745" w:rsidRPr="005F4957" w:rsidRDefault="008011C2" w:rsidP="000E30F2">
            <w:pPr>
              <w:spacing w:after="60" w:line="240" w:lineRule="auto"/>
              <w:ind w:firstLine="0"/>
              <w:jc w:val="center"/>
              <w:rPr>
                <w:rFonts w:eastAsia="Calibri"/>
                <w:szCs w:val="22"/>
              </w:rPr>
            </w:pPr>
            <w:r>
              <w:rPr>
                <w:rFonts w:eastAsia="Calibri"/>
                <w:noProof/>
                <w:szCs w:val="22"/>
                <w:lang w:eastAsia="es-MX"/>
              </w:rPr>
              <w:drawing>
                <wp:inline distT="0" distB="0" distL="0" distR="0">
                  <wp:extent cx="3228975" cy="2428875"/>
                  <wp:effectExtent l="19050" t="0" r="9525" b="0"/>
                  <wp:docPr id="69" name="Imagen 69" descr="PM_HOLP_Z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M_HOLP_ZCF"/>
                          <pic:cNvPicPr>
                            <a:picLocks noChangeAspect="1" noChangeArrowheads="1"/>
                          </pic:cNvPicPr>
                        </pic:nvPicPr>
                        <pic:blipFill>
                          <a:blip r:embed="rId93" cstate="print"/>
                          <a:srcRect l="3409" t="4640" r="3047" b="4413"/>
                          <a:stretch>
                            <a:fillRect/>
                          </a:stretch>
                        </pic:blipFill>
                        <pic:spPr bwMode="auto">
                          <a:xfrm>
                            <a:off x="0" y="0"/>
                            <a:ext cx="3228975" cy="2428875"/>
                          </a:xfrm>
                          <a:prstGeom prst="rect">
                            <a:avLst/>
                          </a:prstGeom>
                          <a:noFill/>
                          <a:ln w="9525">
                            <a:noFill/>
                            <a:miter lim="800000"/>
                            <a:headEnd/>
                            <a:tailEnd/>
                          </a:ln>
                        </pic:spPr>
                      </pic:pic>
                    </a:graphicData>
                  </a:graphic>
                </wp:inline>
              </w:drawing>
            </w:r>
          </w:p>
          <w:p w:rsidR="00835745" w:rsidRPr="005F4957" w:rsidRDefault="00835745" w:rsidP="000E30F2">
            <w:pPr>
              <w:spacing w:after="60" w:line="240" w:lineRule="auto"/>
              <w:ind w:firstLine="0"/>
              <w:rPr>
                <w:rFonts w:eastAsia="Calibri"/>
                <w:szCs w:val="22"/>
              </w:rPr>
            </w:pPr>
          </w:p>
        </w:tc>
        <w:tc>
          <w:tcPr>
            <w:tcW w:w="4551" w:type="dxa"/>
          </w:tcPr>
          <w:p w:rsidR="00835745" w:rsidRPr="001A7174" w:rsidRDefault="00835745" w:rsidP="00835745">
            <w:pPr>
              <w:pStyle w:val="Tabla1cap12"/>
              <w:ind w:left="56" w:firstLine="10"/>
              <w:rPr>
                <w:lang w:val="es-MX"/>
              </w:rPr>
            </w:pPr>
            <w:bookmarkStart w:id="207" w:name="_Ref256589593"/>
            <w:bookmarkStart w:id="208" w:name="_Toc256598157"/>
            <w:bookmarkStart w:id="209" w:name="_Toc273962904"/>
            <w:r w:rsidRPr="001A7174">
              <w:rPr>
                <w:lang w:val="es-MX"/>
              </w:rPr>
              <w:t>Relación de municipios directamente involucrados en zonas críticas forestales</w:t>
            </w:r>
            <w:bookmarkEnd w:id="207"/>
            <w:bookmarkEnd w:id="208"/>
            <w:bookmarkEnd w:id="209"/>
          </w:p>
          <w:tbl>
            <w:tblPr>
              <w:tblW w:w="5000" w:type="pct"/>
              <w:jc w:val="center"/>
              <w:tblBorders>
                <w:top w:val="single" w:sz="12" w:space="0" w:color="008000"/>
                <w:bottom w:val="single" w:sz="12" w:space="0" w:color="008000"/>
              </w:tblBorders>
              <w:tblLook w:val="04A0"/>
            </w:tblPr>
            <w:tblGrid>
              <w:gridCol w:w="1107"/>
              <w:gridCol w:w="857"/>
              <w:gridCol w:w="2371"/>
            </w:tblGrid>
            <w:tr w:rsidR="00835745" w:rsidRPr="007944FC" w:rsidTr="000E30F2">
              <w:trPr>
                <w:jc w:val="center"/>
              </w:trPr>
              <w:tc>
                <w:tcPr>
                  <w:tcW w:w="1306" w:type="pct"/>
                  <w:tcBorders>
                    <w:bottom w:val="single" w:sz="6" w:space="0" w:color="008000"/>
                  </w:tcBorders>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Nombre</w:t>
                  </w:r>
                </w:p>
              </w:tc>
              <w:tc>
                <w:tcPr>
                  <w:tcW w:w="931" w:type="pct"/>
                  <w:tcBorders>
                    <w:bottom w:val="single" w:sz="6" w:space="0" w:color="008000"/>
                  </w:tcBorders>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Entidad</w:t>
                  </w:r>
                </w:p>
              </w:tc>
              <w:tc>
                <w:tcPr>
                  <w:tcW w:w="2762" w:type="pct"/>
                  <w:tcBorders>
                    <w:bottom w:val="single" w:sz="6" w:space="0" w:color="008000"/>
                  </w:tcBorders>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Municipios</w:t>
                  </w:r>
                </w:p>
              </w:tc>
            </w:tr>
            <w:tr w:rsidR="00835745" w:rsidRPr="007944FC" w:rsidTr="000E30F2">
              <w:trPr>
                <w:jc w:val="center"/>
              </w:trPr>
              <w:tc>
                <w:tcPr>
                  <w:tcW w:w="1306" w:type="pct"/>
                  <w:shd w:val="clear" w:color="auto" w:fill="auto"/>
                </w:tcPr>
                <w:p w:rsidR="00835745" w:rsidRPr="007944FC" w:rsidRDefault="00835745" w:rsidP="000E30F2">
                  <w:pPr>
                    <w:spacing w:before="20" w:after="20" w:line="240" w:lineRule="auto"/>
                    <w:ind w:firstLine="0"/>
                    <w:jc w:val="left"/>
                    <w:rPr>
                      <w:sz w:val="16"/>
                      <w:szCs w:val="16"/>
                    </w:rPr>
                  </w:pPr>
                  <w:r w:rsidRPr="007944FC">
                    <w:rPr>
                      <w:sz w:val="16"/>
                      <w:szCs w:val="16"/>
                    </w:rPr>
                    <w:t>Libres-Teziutlán</w:t>
                  </w:r>
                </w:p>
              </w:tc>
              <w:tc>
                <w:tcPr>
                  <w:tcW w:w="931"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Puebla</w:t>
                  </w:r>
                </w:p>
              </w:tc>
              <w:tc>
                <w:tcPr>
                  <w:tcW w:w="2762" w:type="pct"/>
                  <w:shd w:val="clear" w:color="auto" w:fill="auto"/>
                </w:tcPr>
                <w:p w:rsidR="00835745" w:rsidRPr="007944FC" w:rsidRDefault="00835745" w:rsidP="000E30F2">
                  <w:pPr>
                    <w:spacing w:before="20" w:after="20" w:line="240" w:lineRule="auto"/>
                    <w:ind w:firstLine="0"/>
                    <w:rPr>
                      <w:sz w:val="16"/>
                      <w:szCs w:val="16"/>
                    </w:rPr>
                  </w:pPr>
                  <w:proofErr w:type="spellStart"/>
                  <w:r w:rsidRPr="007944FC">
                    <w:rPr>
                      <w:sz w:val="16"/>
                      <w:szCs w:val="16"/>
                    </w:rPr>
                    <w:t>Ixtacamaxtitlan</w:t>
                  </w:r>
                  <w:proofErr w:type="spellEnd"/>
                  <w:r w:rsidRPr="007944FC">
                    <w:rPr>
                      <w:sz w:val="16"/>
                      <w:szCs w:val="16"/>
                    </w:rPr>
                    <w:t>; Libres</w:t>
                  </w:r>
                </w:p>
              </w:tc>
            </w:tr>
            <w:tr w:rsidR="00835745" w:rsidRPr="007944FC" w:rsidTr="000E30F2">
              <w:trPr>
                <w:jc w:val="center"/>
              </w:trPr>
              <w:tc>
                <w:tcPr>
                  <w:tcW w:w="1306" w:type="pct"/>
                  <w:shd w:val="clear" w:color="auto" w:fill="auto"/>
                </w:tcPr>
                <w:p w:rsidR="00835745" w:rsidRPr="007944FC" w:rsidRDefault="00835745" w:rsidP="000E30F2">
                  <w:pPr>
                    <w:spacing w:before="20" w:after="20" w:line="240" w:lineRule="auto"/>
                    <w:ind w:firstLine="0"/>
                    <w:jc w:val="left"/>
                    <w:rPr>
                      <w:sz w:val="16"/>
                      <w:szCs w:val="16"/>
                    </w:rPr>
                  </w:pPr>
                  <w:r w:rsidRPr="007944FC">
                    <w:rPr>
                      <w:sz w:val="16"/>
                      <w:szCs w:val="16"/>
                    </w:rPr>
                    <w:t>Cofre de Perote</w:t>
                  </w:r>
                </w:p>
              </w:tc>
              <w:tc>
                <w:tcPr>
                  <w:tcW w:w="931"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Veracruz</w:t>
                  </w:r>
                </w:p>
              </w:tc>
              <w:tc>
                <w:tcPr>
                  <w:tcW w:w="2762"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 xml:space="preserve">Perote; </w:t>
                  </w:r>
                  <w:proofErr w:type="spellStart"/>
                  <w:r w:rsidRPr="007944FC">
                    <w:rPr>
                      <w:sz w:val="16"/>
                      <w:szCs w:val="16"/>
                    </w:rPr>
                    <w:t>Ayahualco</w:t>
                  </w:r>
                  <w:proofErr w:type="spellEnd"/>
                  <w:r w:rsidRPr="007944FC">
                    <w:rPr>
                      <w:sz w:val="16"/>
                      <w:szCs w:val="16"/>
                    </w:rPr>
                    <w:t xml:space="preserve">; </w:t>
                  </w:r>
                  <w:proofErr w:type="spellStart"/>
                  <w:r w:rsidRPr="007944FC">
                    <w:rPr>
                      <w:sz w:val="16"/>
                      <w:szCs w:val="16"/>
                    </w:rPr>
                    <w:t>Ixhuacan</w:t>
                  </w:r>
                  <w:proofErr w:type="spellEnd"/>
                  <w:r w:rsidRPr="007944FC">
                    <w:rPr>
                      <w:sz w:val="16"/>
                      <w:szCs w:val="16"/>
                    </w:rPr>
                    <w:t xml:space="preserve"> de los Reyes, </w:t>
                  </w:r>
                  <w:proofErr w:type="spellStart"/>
                  <w:r w:rsidRPr="007944FC">
                    <w:rPr>
                      <w:sz w:val="16"/>
                      <w:szCs w:val="16"/>
                    </w:rPr>
                    <w:t>Xico</w:t>
                  </w:r>
                  <w:proofErr w:type="spellEnd"/>
                  <w:r w:rsidRPr="007944FC">
                    <w:rPr>
                      <w:sz w:val="16"/>
                      <w:szCs w:val="16"/>
                    </w:rPr>
                    <w:t xml:space="preserve">; </w:t>
                  </w:r>
                  <w:proofErr w:type="spellStart"/>
                  <w:r w:rsidRPr="007944FC">
                    <w:rPr>
                      <w:sz w:val="16"/>
                      <w:szCs w:val="16"/>
                    </w:rPr>
                    <w:t>Coatepec</w:t>
                  </w:r>
                  <w:proofErr w:type="spellEnd"/>
                  <w:r w:rsidRPr="007944FC">
                    <w:rPr>
                      <w:sz w:val="16"/>
                      <w:szCs w:val="16"/>
                    </w:rPr>
                    <w:t xml:space="preserve">; </w:t>
                  </w:r>
                  <w:proofErr w:type="spellStart"/>
                  <w:r w:rsidRPr="007944FC">
                    <w:rPr>
                      <w:sz w:val="16"/>
                      <w:szCs w:val="16"/>
                    </w:rPr>
                    <w:t>Acajete</w:t>
                  </w:r>
                  <w:proofErr w:type="spellEnd"/>
                  <w:r w:rsidRPr="007944FC">
                    <w:rPr>
                      <w:sz w:val="16"/>
                      <w:szCs w:val="16"/>
                    </w:rPr>
                    <w:t>; Villa Aldama</w:t>
                  </w:r>
                </w:p>
              </w:tc>
            </w:tr>
            <w:tr w:rsidR="00835745" w:rsidRPr="007944FC" w:rsidTr="000E30F2">
              <w:trPr>
                <w:jc w:val="center"/>
              </w:trPr>
              <w:tc>
                <w:tcPr>
                  <w:tcW w:w="1306" w:type="pct"/>
                  <w:shd w:val="clear" w:color="auto" w:fill="auto"/>
                </w:tcPr>
                <w:p w:rsidR="00835745" w:rsidRPr="007944FC" w:rsidRDefault="00835745" w:rsidP="000E30F2">
                  <w:pPr>
                    <w:spacing w:before="20" w:after="20" w:line="240" w:lineRule="auto"/>
                    <w:ind w:firstLine="0"/>
                    <w:jc w:val="left"/>
                    <w:rPr>
                      <w:sz w:val="16"/>
                      <w:szCs w:val="16"/>
                    </w:rPr>
                  </w:pPr>
                  <w:r w:rsidRPr="007944FC">
                    <w:rPr>
                      <w:sz w:val="16"/>
                      <w:szCs w:val="16"/>
                    </w:rPr>
                    <w:t>Cerdán-Pico de Orizaba I</w:t>
                  </w:r>
                </w:p>
              </w:tc>
              <w:tc>
                <w:tcPr>
                  <w:tcW w:w="931"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Puebla</w:t>
                  </w:r>
                </w:p>
              </w:tc>
              <w:tc>
                <w:tcPr>
                  <w:tcW w:w="2762"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 xml:space="preserve">Guadalupe Victoria, La Fragua; </w:t>
                  </w:r>
                  <w:proofErr w:type="spellStart"/>
                  <w:r w:rsidRPr="007944FC">
                    <w:rPr>
                      <w:sz w:val="16"/>
                      <w:szCs w:val="16"/>
                    </w:rPr>
                    <w:t>Tlachichuca</w:t>
                  </w:r>
                  <w:proofErr w:type="spellEnd"/>
                  <w:r w:rsidRPr="007944FC">
                    <w:rPr>
                      <w:sz w:val="16"/>
                      <w:szCs w:val="16"/>
                    </w:rPr>
                    <w:t xml:space="preserve">, </w:t>
                  </w:r>
                  <w:proofErr w:type="spellStart"/>
                  <w:r w:rsidRPr="007944FC">
                    <w:rPr>
                      <w:sz w:val="16"/>
                      <w:szCs w:val="16"/>
                    </w:rPr>
                    <w:t>Chicotla</w:t>
                  </w:r>
                  <w:proofErr w:type="spellEnd"/>
                  <w:r w:rsidRPr="007944FC">
                    <w:rPr>
                      <w:sz w:val="16"/>
                      <w:szCs w:val="16"/>
                    </w:rPr>
                    <w:t xml:space="preserve">; </w:t>
                  </w:r>
                  <w:proofErr w:type="spellStart"/>
                  <w:r w:rsidRPr="007944FC">
                    <w:rPr>
                      <w:sz w:val="16"/>
                      <w:szCs w:val="16"/>
                    </w:rPr>
                    <w:t>Atzinzintla</w:t>
                  </w:r>
                  <w:proofErr w:type="spellEnd"/>
                </w:p>
              </w:tc>
            </w:tr>
            <w:tr w:rsidR="00835745" w:rsidRPr="007944FC" w:rsidTr="000E30F2">
              <w:trPr>
                <w:jc w:val="center"/>
              </w:trPr>
              <w:tc>
                <w:tcPr>
                  <w:tcW w:w="1306" w:type="pct"/>
                  <w:shd w:val="clear" w:color="auto" w:fill="auto"/>
                </w:tcPr>
                <w:p w:rsidR="00835745" w:rsidRPr="007944FC" w:rsidRDefault="00835745" w:rsidP="000E30F2">
                  <w:pPr>
                    <w:spacing w:before="20" w:after="20" w:line="240" w:lineRule="auto"/>
                    <w:ind w:firstLine="0"/>
                    <w:jc w:val="left"/>
                    <w:rPr>
                      <w:sz w:val="16"/>
                      <w:szCs w:val="16"/>
                    </w:rPr>
                  </w:pPr>
                  <w:r w:rsidRPr="007944FC">
                    <w:rPr>
                      <w:sz w:val="16"/>
                      <w:szCs w:val="16"/>
                    </w:rPr>
                    <w:t>Cerdán-Pico de Orizaba II</w:t>
                  </w:r>
                </w:p>
              </w:tc>
              <w:tc>
                <w:tcPr>
                  <w:tcW w:w="931"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Puebla</w:t>
                  </w:r>
                </w:p>
              </w:tc>
              <w:tc>
                <w:tcPr>
                  <w:tcW w:w="2762" w:type="pct"/>
                  <w:shd w:val="clear" w:color="auto" w:fill="auto"/>
                </w:tcPr>
                <w:p w:rsidR="00835745" w:rsidRPr="007944FC" w:rsidRDefault="00835745" w:rsidP="000E30F2">
                  <w:pPr>
                    <w:spacing w:before="20" w:after="20" w:line="240" w:lineRule="auto"/>
                    <w:ind w:firstLine="0"/>
                    <w:rPr>
                      <w:sz w:val="16"/>
                      <w:szCs w:val="16"/>
                    </w:rPr>
                  </w:pPr>
                  <w:r w:rsidRPr="007944FC">
                    <w:rPr>
                      <w:sz w:val="16"/>
                      <w:szCs w:val="16"/>
                    </w:rPr>
                    <w:t>San Salvador El Seco; San Juan Atenco</w:t>
                  </w:r>
                </w:p>
              </w:tc>
            </w:tr>
          </w:tbl>
          <w:p w:rsidR="00835745" w:rsidRPr="005F4957" w:rsidRDefault="00835745" w:rsidP="000E30F2">
            <w:pPr>
              <w:rPr>
                <w:rFonts w:eastAsia="Calibri"/>
                <w:sz w:val="18"/>
                <w:szCs w:val="18"/>
              </w:rPr>
            </w:pPr>
            <w:r w:rsidRPr="005F4957">
              <w:rPr>
                <w:rFonts w:eastAsia="Calibri"/>
                <w:sz w:val="18"/>
                <w:szCs w:val="18"/>
              </w:rPr>
              <w:t>Fuente: PROFEPA</w:t>
            </w:r>
          </w:p>
          <w:p w:rsidR="00835745" w:rsidRPr="005F4957" w:rsidRDefault="00835745" w:rsidP="000E30F2">
            <w:pPr>
              <w:spacing w:after="60" w:line="240" w:lineRule="auto"/>
              <w:ind w:firstLine="0"/>
              <w:rPr>
                <w:rFonts w:eastAsia="Calibri"/>
                <w:szCs w:val="22"/>
              </w:rPr>
            </w:pPr>
          </w:p>
        </w:tc>
      </w:tr>
    </w:tbl>
    <w:p w:rsidR="00835745" w:rsidRDefault="00835745" w:rsidP="00835745">
      <w:r>
        <w:t>A partir de lo anterior, la presente línea estratégica pretende cubrir el objetivo de establecer las bases de acción para la recuperación de áreas estratégicas afectadas por eventos de deforestación natural e inducida.</w:t>
      </w:r>
    </w:p>
    <w:p w:rsidR="00835745" w:rsidRDefault="00835745" w:rsidP="00835745">
      <w:r>
        <w:t xml:space="preserve">La extensión territorial que se encuentra afectada por deforestación y/o alteración, representa el 6.5% de la totalidad de los mismos. Tal extensión podría no ser significativa, pero tomemos en cuenta que la superficie del acuífero HLOP presenta en su mayoría suelo agrícola, cuya condición en la actualidad no se toma como afectación al medio ambiente, sin embargo, mucha de esta extensión implicó una afectación por cambio de uso de suelo. </w:t>
      </w:r>
    </w:p>
    <w:p w:rsidR="00835745" w:rsidRDefault="00835745" w:rsidP="00835745">
      <w:r>
        <w:t>Para efectos de referencia, el costo de reforestación por hectárea oscila los $9,500.00 M.N, por lo que para reforestar las 13,893 hectáreas determinadas anteriormente es necesario un financiamiento de aproximadamente de $131’983,500.00 MN, cifra totalmente imposible de financiar por un organismo como el COTAS. De tal forma, se recomienda:</w:t>
      </w:r>
    </w:p>
    <w:p w:rsidR="00835745" w:rsidRDefault="00835745" w:rsidP="000E30F2">
      <w:pPr>
        <w:numPr>
          <w:ilvl w:val="0"/>
          <w:numId w:val="112"/>
        </w:numPr>
        <w:spacing w:line="312" w:lineRule="auto"/>
      </w:pPr>
      <w:r>
        <w:lastRenderedPageBreak/>
        <w:t>Identificar las áreas especificas de atención inmediata para efectos de compensación y conservación ambiental (reforestación y atención a plagas e incendios forestales)</w:t>
      </w:r>
    </w:p>
    <w:p w:rsidR="00835745" w:rsidRDefault="00835745" w:rsidP="000E30F2">
      <w:pPr>
        <w:numPr>
          <w:ilvl w:val="0"/>
          <w:numId w:val="112"/>
        </w:numPr>
        <w:spacing w:line="312" w:lineRule="auto"/>
      </w:pPr>
      <w:r>
        <w:t>Vincularse directa y continuamente con las dependencias federales y estatales relacionadas con el manejo de recursos forestales.</w:t>
      </w:r>
    </w:p>
    <w:p w:rsidR="00835745" w:rsidRDefault="00835745" w:rsidP="000E30F2">
      <w:pPr>
        <w:numPr>
          <w:ilvl w:val="0"/>
          <w:numId w:val="112"/>
        </w:numPr>
        <w:spacing w:line="312" w:lineRule="auto"/>
      </w:pPr>
      <w:r>
        <w:t>Gestionar un convenio de apoyo entre dichas dependencia para propiciar la concurrencias de fondos económicos que permitan la atención de la problemática aquí tratada</w:t>
      </w:r>
    </w:p>
    <w:p w:rsidR="00835745" w:rsidRDefault="00835745" w:rsidP="000E30F2">
      <w:pPr>
        <w:numPr>
          <w:ilvl w:val="0"/>
          <w:numId w:val="112"/>
        </w:numPr>
        <w:spacing w:line="312" w:lineRule="auto"/>
      </w:pPr>
      <w:r>
        <w:t>Coadyuvar en especie o en jornales, a las actividades de transporte de plántulas, preparación del terreno, sembrado, poda y seguimiento a individuos plantados.</w:t>
      </w:r>
    </w:p>
    <w:p w:rsidR="00835745" w:rsidRDefault="00835745" w:rsidP="000E30F2">
      <w:pPr>
        <w:numPr>
          <w:ilvl w:val="0"/>
          <w:numId w:val="112"/>
        </w:numPr>
        <w:spacing w:line="312" w:lineRule="auto"/>
      </w:pPr>
      <w:r>
        <w:t xml:space="preserve">Solicitar información específica y puntual de los programas de fomento a la protección y recuperación de áreas estratégicas para la conservación y conocer las directrices de participación que como agrupación pude desarrollar el COTAS es esta temática. </w:t>
      </w:r>
    </w:p>
    <w:p w:rsidR="00835745" w:rsidRDefault="00835745" w:rsidP="000E30F2">
      <w:pPr>
        <w:numPr>
          <w:ilvl w:val="0"/>
          <w:numId w:val="112"/>
        </w:numPr>
        <w:spacing w:line="312" w:lineRule="auto"/>
      </w:pPr>
      <w:r>
        <w:t>Coadyuvar en el cumplimiento de las estrategias de los programas Hidrológico-Forestales y de los estudios Regionales Forestales de la UMAFOR correspondiente.</w:t>
      </w:r>
    </w:p>
    <w:p w:rsidR="000F3AF4" w:rsidRPr="00EF083B" w:rsidRDefault="00835745" w:rsidP="00835745">
      <w:pPr>
        <w:ind w:firstLine="0"/>
      </w:pPr>
      <w:r>
        <w:t xml:space="preserve">El COTAS del acuífero Huamantla-Libres Oriental-Perote debe ser </w:t>
      </w:r>
      <w:proofErr w:type="spellStart"/>
      <w:r>
        <w:t>co</w:t>
      </w:r>
      <w:proofErr w:type="spellEnd"/>
      <w:r>
        <w:t xml:space="preserve">-participe en la solución de los problemas de deforestación, y nunca responsable único de una situación que requiere de estrategias multisectoriales y </w:t>
      </w:r>
      <w:proofErr w:type="spellStart"/>
      <w:r>
        <w:t>multitemporales</w:t>
      </w:r>
      <w:proofErr w:type="spellEnd"/>
      <w:r>
        <w:t>, lo anterior, desde la perspectiva de que no se debe promover la duplicidad de funciones, tareas y responsabilidades perfectamente establecidas en diversos instrumentos normativos</w:t>
      </w:r>
      <w:r w:rsidR="000F3AF4">
        <w:t>.</w:t>
      </w:r>
    </w:p>
    <w:p w:rsidR="000F3AF4" w:rsidRDefault="000F3AF4" w:rsidP="000F3AF4">
      <w:pPr>
        <w:ind w:firstLine="0"/>
      </w:pPr>
      <w:r w:rsidRPr="00EF083B">
        <w:rPr>
          <w:b/>
        </w:rPr>
        <w:t>Línea Estrat</w:t>
      </w:r>
      <w:r>
        <w:rPr>
          <w:b/>
        </w:rPr>
        <w:t>égica 4</w:t>
      </w:r>
      <w:r w:rsidRPr="00EF083B">
        <w:rPr>
          <w:b/>
        </w:rPr>
        <w:t>.</w:t>
      </w:r>
      <w:r>
        <w:rPr>
          <w:b/>
        </w:rPr>
        <w:t xml:space="preserve"> 1</w:t>
      </w:r>
      <w:r w:rsidRPr="00EF083B">
        <w:rPr>
          <w:b/>
        </w:rPr>
        <w:t>.</w:t>
      </w:r>
      <w:r>
        <w:t xml:space="preserve">  </w:t>
      </w:r>
      <w:r w:rsidRPr="00B0399A">
        <w:t>Banco de derechos del agua a favor del acuífero</w:t>
      </w:r>
    </w:p>
    <w:p w:rsidR="000F3AF4" w:rsidRDefault="000F3AF4" w:rsidP="000F3AF4">
      <w:pPr>
        <w:ind w:firstLine="0"/>
      </w:pPr>
      <w:r w:rsidRPr="00EF083B">
        <w:rPr>
          <w:i/>
        </w:rPr>
        <w:t xml:space="preserve">Línea de acción </w:t>
      </w:r>
      <w:r>
        <w:rPr>
          <w:i/>
        </w:rPr>
        <w:t>4.1.1</w:t>
      </w:r>
      <w:r w:rsidRPr="00EF083B">
        <w:rPr>
          <w:i/>
        </w:rPr>
        <w:t>.</w:t>
      </w:r>
      <w:r>
        <w:t xml:space="preserve"> </w:t>
      </w:r>
      <w:r w:rsidRPr="00B0399A">
        <w:t>Banco de derechos del agua a favor del acuífero</w:t>
      </w:r>
    </w:p>
    <w:p w:rsidR="00052D56" w:rsidRDefault="00052D56" w:rsidP="00052D56">
      <w:r>
        <w:t xml:space="preserve">Tal como se describe en el apartado de opciones para el manejo de la oferta y la demanda de agua, el Banco de Derechos de Agua a favor del acuífero, es un instrumento que con el compromiso de los usuarios y la instrumentación de los aprovechamientos, permitirá definir políticas de negociación entre usuarios, siempre bajo el amparo del reglamento del acuífero.  Es recomendable que el banco de derechos de agua resulte el instrumento necesario o hasta obligado para llevar a cabo cualquier transmisión de derechos de agua, todo esto, dentro del marco normativo vigente.  </w:t>
      </w:r>
    </w:p>
    <w:p w:rsidR="00052D56" w:rsidRDefault="00052D56" w:rsidP="00052D56">
      <w:r>
        <w:t>Es necesario tomar en cuenta que para que exista un banco exitoso de derechos de agua en el acuífero, es necesario crear las condiciones para que el proyecto pueda llevarse a cabo, ya sea por etapas o en forma global.  Las condiciones para su implementación son:</w:t>
      </w:r>
    </w:p>
    <w:p w:rsidR="00052D56" w:rsidRPr="00052D56" w:rsidRDefault="00052D56" w:rsidP="000E30F2">
      <w:pPr>
        <w:numPr>
          <w:ilvl w:val="0"/>
          <w:numId w:val="113"/>
        </w:numPr>
      </w:pPr>
      <w:r w:rsidRPr="00052D56">
        <w:t xml:space="preserve">Existencia de un reglamento del acuífero e instrumentos para aplicar la ley de manera efectiva y representativa.  Es conveniente que el reglamento cuente con zonas de manejo del acuífero, definidas a partir de la caracterización de los usuarios y su capacidad de compromiso en procesos de transmisión de derechos en un esquema favorable al manejo sustentable del agua. </w:t>
      </w:r>
    </w:p>
    <w:p w:rsidR="00052D56" w:rsidRPr="00052D56" w:rsidRDefault="00052D56" w:rsidP="000E30F2">
      <w:pPr>
        <w:numPr>
          <w:ilvl w:val="0"/>
          <w:numId w:val="113"/>
        </w:numPr>
      </w:pPr>
      <w:r w:rsidRPr="00052D56">
        <w:lastRenderedPageBreak/>
        <w:t xml:space="preserve">Medición efectiva del aprovechamiento de agua, de energía y de los patrones de productividad del agua. </w:t>
      </w:r>
    </w:p>
    <w:p w:rsidR="00052D56" w:rsidRDefault="00052D56" w:rsidP="006D1ADE">
      <w:r>
        <w:t>En este respecto, será necesario contar con un programa de certificación periódica de los usuarios partícipes del Banco de Derechos de Agua, es necesario que la transmisión de derechos de agua que ocurra a través de este banco, ocurra en condiciones que favorezcan de manera integral los distintos objetivos estratégicos de manejo sustentable de los tres acuíferos.</w:t>
      </w:r>
    </w:p>
    <w:p w:rsidR="00052D56" w:rsidRDefault="00052D56" w:rsidP="006D1ADE">
      <w:r>
        <w:t xml:space="preserve">Un banco de derechos de agua en el cual no existan estas condiciones, únicamente sería una mesa adicional para la ocurrencia de transmisiones de agua que ya están institucionalmente validadas por la Ley de Aguas Nacionales; sin embargo, el objetivo es que se promuevan esquemas de transmisión de derechos que resulten favorables tanto a los usuarios como a los acuíferos y de hecho, que se consoliden las bases para gestionar la transmisión necesaria de derechos de agua a favor del acuífero.  Esta condición será especialmente necesaria en aquellas zonas donde la concesión de derechos supere la capacidad de recuperación local del acuífero, o la capacidad global en caso de que esta superara la cuota total de recarga, situación que por ahora ocurre únicamente en el acuífero de Huamantla, según se identifica.  </w:t>
      </w:r>
    </w:p>
    <w:p w:rsidR="00052D56" w:rsidRDefault="00052D56" w:rsidP="006D1ADE">
      <w:r>
        <w:t>Es conveniente que el banco de derechos de agua a favor del acuífero se vincule con los distintos programas para reducción de la demanda de agua subterránea en el sector agrícola, de manera que los ahorros volumétricos causados, que permitan reducir los volúmenes concesionados, sean inscritos, en caso de existir sobreexplotación como volúmenes a favor del acuífero.</w:t>
      </w:r>
    </w:p>
    <w:p w:rsidR="00052D56" w:rsidRDefault="00052D56" w:rsidP="006D1ADE">
      <w:r>
        <w:t xml:space="preserve">Tal como se observa, la organización del Banco de Derechos será sencilla y económica cuando existan las condiciones para su implementación de manera apropiada. </w:t>
      </w:r>
    </w:p>
    <w:p w:rsidR="000F3AF4" w:rsidRPr="006D1ADE" w:rsidRDefault="000F3AF4" w:rsidP="008011C2">
      <w:pPr>
        <w:ind w:firstLine="0"/>
        <w:outlineLvl w:val="0"/>
      </w:pPr>
      <w:r w:rsidRPr="006D1ADE">
        <w:rPr>
          <w:b/>
        </w:rPr>
        <w:t>Línea Estratégica 4. 2.</w:t>
      </w:r>
      <w:r w:rsidRPr="006D1ADE">
        <w:t xml:space="preserve">  Desarrollo de Organismos Operadores</w:t>
      </w:r>
    </w:p>
    <w:p w:rsidR="000F3AF4" w:rsidRPr="006D1ADE" w:rsidRDefault="000F3AF4" w:rsidP="000F3AF4">
      <w:pPr>
        <w:ind w:firstLine="0"/>
      </w:pPr>
      <w:r w:rsidRPr="006D1ADE">
        <w:rPr>
          <w:i/>
        </w:rPr>
        <w:t>Línea de acción 4.2.1.</w:t>
      </w:r>
      <w:r w:rsidRPr="006D1ADE">
        <w:t xml:space="preserve"> Creación y consolidación de organismos operadores o instituciones similares</w:t>
      </w:r>
    </w:p>
    <w:p w:rsidR="000F3AF4" w:rsidRPr="006D1ADE" w:rsidRDefault="000F3AF4" w:rsidP="006D1ADE">
      <w:r w:rsidRPr="006D1ADE">
        <w:t>La zona de estudio requiere de consolidar organismos operadores u organizaciones similares, que contribuyan con la administración racional del agua y favorezcan una capacidad de mejorar el servicio a la población.  En la medida que estos organismos existan y se consoliden, será posible mejorar las condiciones de manejo del agua.</w:t>
      </w:r>
    </w:p>
    <w:p w:rsidR="000F3AF4" w:rsidRDefault="000F3AF4" w:rsidP="008011C2">
      <w:pPr>
        <w:ind w:firstLine="0"/>
        <w:outlineLvl w:val="0"/>
      </w:pPr>
      <w:r w:rsidRPr="00EF083B">
        <w:rPr>
          <w:b/>
        </w:rPr>
        <w:t>Línea Estrat</w:t>
      </w:r>
      <w:r>
        <w:rPr>
          <w:b/>
        </w:rPr>
        <w:t>égica 4</w:t>
      </w:r>
      <w:r w:rsidRPr="00EF083B">
        <w:rPr>
          <w:b/>
        </w:rPr>
        <w:t>.</w:t>
      </w:r>
      <w:r>
        <w:rPr>
          <w:b/>
        </w:rPr>
        <w:t xml:space="preserve"> 3</w:t>
      </w:r>
      <w:r w:rsidRPr="00EF083B">
        <w:rPr>
          <w:b/>
        </w:rPr>
        <w:t>.</w:t>
      </w:r>
      <w:r>
        <w:t xml:space="preserve">  </w:t>
      </w:r>
      <w:r w:rsidRPr="00B0399A">
        <w:t>Estudios y proyectos</w:t>
      </w:r>
    </w:p>
    <w:p w:rsidR="00052D56" w:rsidRDefault="00052D56" w:rsidP="008011C2">
      <w:pPr>
        <w:outlineLvl w:val="0"/>
      </w:pPr>
      <w:r w:rsidRPr="006D1ADE">
        <w:rPr>
          <w:i/>
        </w:rPr>
        <w:t>Línea de acción 4.3.1.</w:t>
      </w:r>
      <w:r>
        <w:t xml:space="preserve"> Actualización periódica del Plan de Manejo del Acuífero HLOP</w:t>
      </w:r>
    </w:p>
    <w:p w:rsidR="00052D56" w:rsidRDefault="00052D56" w:rsidP="00052D56">
      <w:r>
        <w:t>Es necesario que el Plan de Manejo del Acuífero sea una estrategia vigente y que se perfeccione, se lleve a cabo y se actualice continuamente.   En la medida que exista una mejor instrumentación y la calidad de la estadística mejore, será posible dar mayor precisión al diagnóstico del acuífero en porciones más puntuales de su geografía e identificar fenómenos de horizonte cronológico más breve, con ello, mejorando la definición de medidas locales y regionales para el manejo del acuífero.</w:t>
      </w:r>
    </w:p>
    <w:p w:rsidR="00052D56" w:rsidRDefault="00052D56" w:rsidP="00052D56">
      <w:r>
        <w:lastRenderedPageBreak/>
        <w:t>Es así que se considera conveniente una actualización operativa del Plan de Manejo en el interior del COTAS y adicionalmente, una actualización detallada cada lustro, que progresivamente incorpore nuevas estrategias, indicadores e instrumentos de verificación acordes con los avances del momento.</w:t>
      </w:r>
    </w:p>
    <w:p w:rsidR="00052D56" w:rsidRDefault="00052D56" w:rsidP="00052D56">
      <w:r>
        <w:t>Su indicador de seguimiento será la actualización sexenal detallada y la actualización anual de bases de datos y sistemas de información.</w:t>
      </w:r>
    </w:p>
    <w:p w:rsidR="00052D56" w:rsidRDefault="00052D56" w:rsidP="00052D56">
      <w:r w:rsidRPr="006D1ADE">
        <w:rPr>
          <w:i/>
        </w:rPr>
        <w:t>Línea de acción 4.3.2.</w:t>
      </w:r>
      <w:r w:rsidRPr="006D1ADE">
        <w:t xml:space="preserve"> Estudio y definición de esquemas para el desarrollo sustentable de</w:t>
      </w:r>
      <w:r>
        <w:t xml:space="preserve"> agricultura de alto rendimiento </w:t>
      </w:r>
      <w:r w:rsidRPr="00E17248">
        <w:t>y rescate de pérdidas naturales  para la</w:t>
      </w:r>
      <w:r>
        <w:t xml:space="preserve"> producción de alimentos</w:t>
      </w:r>
    </w:p>
    <w:p w:rsidR="00052D56" w:rsidRDefault="00052D56" w:rsidP="00052D56">
      <w:r>
        <w:t>A través de la definición de esquemas para el desarrollo sustentable para la agricultura de alto rendimiento, se definirán las bases para promover este tipo de actividad, fundamental para programas convenientes de reducción del aprovechamiento agrícola de los acuíferos.  En este estudio se integrará una clasificación de suelos, climas, viabilidad de distintos cultivos, alternativas de comercialización y criterios para establecer cultivos de menor demanda, que permitan incrementar la productividad del agua y controlar la demanda de agua subterránea para riego.  Este tipo de estudios pueden contribuir para la integración de planes de manejo para las unidades de riego de cada estado, dentro de cada uno de los tres acuíferos.</w:t>
      </w:r>
    </w:p>
    <w:p w:rsidR="00052D56" w:rsidRDefault="00052D56" w:rsidP="00052D56">
      <w:r w:rsidRPr="006D1ADE">
        <w:rPr>
          <w:i/>
        </w:rPr>
        <w:t>Línea de acción 4.3.3.</w:t>
      </w:r>
      <w:r w:rsidRPr="006D1ADE">
        <w:t xml:space="preserve"> Estudio y definición de esquemas para la intensificación sustentable de</w:t>
      </w:r>
      <w:r>
        <w:t xml:space="preserve"> actividades pecuarias</w:t>
      </w:r>
    </w:p>
    <w:p w:rsidR="00052D56" w:rsidRDefault="00052D56" w:rsidP="00052D56">
      <w:pPr>
        <w:ind w:firstLine="0"/>
      </w:pPr>
      <w:r>
        <w:t xml:space="preserve">La integración de estos estudios permitirá identificar los límites de tolerancia de las diversas zonas del acuífero a distintos índices de agostadero, con ello se definirán las restricciones a la densidad de población ovina  y con ello se evitará la contribución a procesos de erosión y desertificación.  Igualmente se evaluará el efecto que estas actividades tienen y potencialmente tendrán sobre la calidad del agua subterránea, en este respecto destaca principalmente el ganado </w:t>
      </w:r>
      <w:proofErr w:type="spellStart"/>
      <w:r>
        <w:t>porcícola</w:t>
      </w:r>
      <w:proofErr w:type="spellEnd"/>
      <w:r>
        <w:t>, que en causa una alta concentración de contaminantes, bastante mayor que la de otros ganados.</w:t>
      </w:r>
    </w:p>
    <w:p w:rsidR="00052D56" w:rsidRDefault="00052D56" w:rsidP="00052D56">
      <w:r w:rsidRPr="006D1ADE">
        <w:rPr>
          <w:i/>
        </w:rPr>
        <w:t>Línea de acción 4.3.4.</w:t>
      </w:r>
      <w:r w:rsidRPr="006D1ADE">
        <w:t xml:space="preserve"> Estudio y definición de esquemas sociales organizativos para la</w:t>
      </w:r>
      <w:r>
        <w:t xml:space="preserve"> intensificación de los servicios ambientales, turismo y empleo en la cuenca Libres – Oriental</w:t>
      </w:r>
    </w:p>
    <w:p w:rsidR="00052D56" w:rsidRDefault="00052D56" w:rsidP="00052D56">
      <w:pPr>
        <w:ind w:firstLine="0"/>
      </w:pPr>
      <w:r>
        <w:t>Este estudio permitirá evaluar para cada zona  del acuífero su aptitud para participar en los programas de servicios ambientales, turismo y ecoturismo, mismos que mejoren la situación de empleo u ocupación en la zona de estudio.  A través de la mejora de los servicios ambientales y del turismo y ecoturismo,  se fomentará la conservación sustentable de las cuencas, lo cual contribuirá con el manejo sustentable de los acuíferos.</w:t>
      </w:r>
    </w:p>
    <w:p w:rsidR="00052D56" w:rsidRDefault="00052D56" w:rsidP="00052D56">
      <w:pPr>
        <w:ind w:firstLine="0"/>
      </w:pPr>
      <w:r>
        <w:t>Es recomendable llevar a cabo un estudio para cada uno de los tres acuíferos, asimismo, será necesaria la actualización de dichos estudios con una frecuencia cuando menos sexenal.</w:t>
      </w:r>
    </w:p>
    <w:p w:rsidR="000F3AF4" w:rsidRPr="00B0399A" w:rsidRDefault="000F3AF4" w:rsidP="008011C2">
      <w:pPr>
        <w:ind w:firstLine="0"/>
        <w:outlineLvl w:val="0"/>
      </w:pPr>
      <w:r w:rsidRPr="00EF083B">
        <w:rPr>
          <w:b/>
        </w:rPr>
        <w:t>Línea Estrat</w:t>
      </w:r>
      <w:r>
        <w:rPr>
          <w:b/>
        </w:rPr>
        <w:t>égica 4</w:t>
      </w:r>
      <w:r w:rsidRPr="00EF083B">
        <w:rPr>
          <w:b/>
        </w:rPr>
        <w:t>.</w:t>
      </w:r>
      <w:r>
        <w:rPr>
          <w:b/>
        </w:rPr>
        <w:t xml:space="preserve"> 4</w:t>
      </w:r>
      <w:r w:rsidRPr="00EF083B">
        <w:rPr>
          <w:b/>
        </w:rPr>
        <w:t>.</w:t>
      </w:r>
      <w:r>
        <w:t xml:space="preserve">  </w:t>
      </w:r>
      <w:r w:rsidRPr="00B0399A">
        <w:t>Gestión de financiamiento</w:t>
      </w:r>
    </w:p>
    <w:p w:rsidR="00052D56" w:rsidRPr="006D1ADE" w:rsidRDefault="00052D56" w:rsidP="008011C2">
      <w:pPr>
        <w:outlineLvl w:val="0"/>
      </w:pPr>
      <w:r w:rsidRPr="006D1ADE">
        <w:rPr>
          <w:i/>
        </w:rPr>
        <w:t>Línea de acción 4.4.1.</w:t>
      </w:r>
      <w:r w:rsidRPr="006D1ADE">
        <w:t xml:space="preserve"> Identificación y diversificación de vías y opciones de financiamiento</w:t>
      </w:r>
    </w:p>
    <w:p w:rsidR="00052D56" w:rsidRDefault="00052D56" w:rsidP="00052D56">
      <w:r>
        <w:lastRenderedPageBreak/>
        <w:t>Es necesario contar con recursos financieros para la organización elemental requerida para llevar a cabo el plan de manejo.  Sin embargo, también la obtención de estos recursos requiere en principio de la organización de las distintas instituciones involucradas con este proceso y de su canalización de los recursos básicos para que el COTAS se consolide con una mayor capacidad de autogestión.  Esta actividad en principio debe realizarse por las instituciones involucradas con el COTAS, posteriormente se llevará a cabo también por el COTAS (en la medida que logre su autogestión).</w:t>
      </w:r>
    </w:p>
    <w:p w:rsidR="00052D56" w:rsidRDefault="00052D56" w:rsidP="00052D56">
      <w:r>
        <w:t>Una alternativa es definir o establecer a través del reglamento del acuífero una tarifa diferencial para los distintos usuarios, igualmente definir una partida deductiva en las obras públicas que se edifican dentro de estos acuíferos, que considere un pequeño porcentaje para su designación hacia el Comité Técnico de Aguas Subterráneas y específicamente hacia el fideicomiso del mismo, de manera que con ello se cuente con el financiamiento necesario para llevar a cabo las acciones establecidas en el plan de manejo del acuífero.  Estos instrumentos no representan particularmente un costo, sino más bien la capacidad de gestión jurídica tanto de la Federación como de los Estados, para reconocer la necesaria inversión en el manejo sustentable de las reservas estratégicas subterráneas, con el establecimiento de estas normas que aseguren la gestión de estos recursos, que comparados con el monto total de la inversión dentro del área de estudio, no superan el 0.3% del PIB.</w:t>
      </w:r>
    </w:p>
    <w:p w:rsidR="00052D56" w:rsidRDefault="00052D56" w:rsidP="00052D56">
      <w:r>
        <w:t xml:space="preserve">Entre las estrategias de gestión de financiamiento, deben destacarse </w:t>
      </w:r>
      <w:r w:rsidRPr="00E84BD8">
        <w:rPr>
          <w:i/>
        </w:rPr>
        <w:t>la recuperación de beneficios del manejo sustentable del acuífero y la reorientación de subsidios</w:t>
      </w:r>
      <w:r>
        <w:t>.  Esta recuperación consiste en reconocer cuáles son las dependencias directamente beneficiadas por el plan de manejo, con una reducción de su gasto corriente.  Por ejemplo:</w:t>
      </w:r>
    </w:p>
    <w:p w:rsidR="00052D56" w:rsidRDefault="00052D56" w:rsidP="000E30F2">
      <w:pPr>
        <w:numPr>
          <w:ilvl w:val="0"/>
          <w:numId w:val="114"/>
        </w:numPr>
      </w:pPr>
      <w:r>
        <w:t xml:space="preserve"> CFE reducirá la necesidad de una oferta creciente de energía para los aprovechamientos, además de que se disminuirá también el monto de subsidio, de este modo, CFE podría orientar parte de sus subsidios actuales hacia las acciones del plan de manejo y esperar que con ello ocurra una recuperación económica en su situación dentro de la zona de los acuíferos.</w:t>
      </w:r>
    </w:p>
    <w:p w:rsidR="00052D56" w:rsidRDefault="00052D56" w:rsidP="000E30F2">
      <w:pPr>
        <w:numPr>
          <w:ilvl w:val="0"/>
          <w:numId w:val="114"/>
        </w:numPr>
      </w:pPr>
      <w:r>
        <w:t>SAGARPA se verá menos presionada por las deficiencias financieras de los productores y el consecuente apoyo que sistemáticamente les provee.  De este modo, también SAGARPA puede invertir en las actividades del plan de manejo y esperar un ahorro que se traducirá en un beneficio neto positivo por su participación en la inversión de las acciones del Plan de Manejo del acuífero.</w:t>
      </w:r>
    </w:p>
    <w:p w:rsidR="00052D56" w:rsidRDefault="00052D56" w:rsidP="000E30F2">
      <w:pPr>
        <w:numPr>
          <w:ilvl w:val="0"/>
          <w:numId w:val="114"/>
        </w:numPr>
      </w:pPr>
      <w:r>
        <w:t>La sociedad puede verse beneficiada al reducir su demanda de energía y de financiamiento para el pago de la misma; de este modo, también es necesario que ya sea a través de la participación social en la ejecución de las acciones o mediante ligeras aportaciones económicas, contribuyan con el financiamiento de las acciones.</w:t>
      </w:r>
    </w:p>
    <w:p w:rsidR="00052D56" w:rsidRDefault="00052D56" w:rsidP="00052D56">
      <w:pPr>
        <w:ind w:left="-12" w:firstLine="0"/>
      </w:pPr>
      <w:r>
        <w:t xml:space="preserve">De este modo, la recuperación de beneficios, consiste en que los beneficiarios de estas acciones, aporten económicamente una parte de su beneficio para el financiamiento de las acciones, que no </w:t>
      </w:r>
      <w:r>
        <w:lastRenderedPageBreak/>
        <w:t>sólo benefician en forma inmediata, sino que tenderán a ofrecer un beneficio de largo plazo, con mayores oportunidades para las futuras generaciones.</w:t>
      </w:r>
    </w:p>
    <w:p w:rsidR="00052D56" w:rsidRDefault="00052D56" w:rsidP="00052D56">
      <w:r>
        <w:t xml:space="preserve">Esta línea estratégica tendrá dos principales indicadores de seguimiento: i) El porcentaje de los recursos necesarios del COTAS que cuentan con opciones seguras de financiamiento y </w:t>
      </w:r>
      <w:proofErr w:type="spellStart"/>
      <w:r>
        <w:t>ii</w:t>
      </w:r>
      <w:proofErr w:type="spellEnd"/>
      <w:r>
        <w:t>) El porcentaje de inversiones programadas en el Plan de Manejo que cuentan con opciones seguras de financiamiento.</w:t>
      </w:r>
    </w:p>
    <w:p w:rsidR="00052D56" w:rsidRDefault="00052D56" w:rsidP="00052D56">
      <w:r w:rsidRPr="006D1ADE">
        <w:rPr>
          <w:i/>
        </w:rPr>
        <w:t>Línea de acción 4.4.2.</w:t>
      </w:r>
      <w:r w:rsidRPr="006D1ADE">
        <w:t xml:space="preserve"> Promover la participación de la iniciativa privada en el financiamiento de</w:t>
      </w:r>
      <w:r>
        <w:t xml:space="preserve"> las acciones</w:t>
      </w:r>
    </w:p>
    <w:p w:rsidR="00052D56" w:rsidRDefault="00052D56" w:rsidP="00052D56">
      <w:r>
        <w:t>La iniciativa privada (IP) representa un área de oportunidad de gran peso en la posibilidad de financiar las acciones propuestas en el Plan de Manejo.  Es necesario, sin embargo, contar con esquemas de organización que permitan a la IP hallar un área de oportunidad en la inversión en estas acciones. La reorientación de subsidios y la recuperación de beneficios del manejo sustentable del acuífero a través de ahorros, serán programas de gran peso para disponer de recursos atractivos para los inversionistas de la iniciativa privada.</w:t>
      </w:r>
    </w:p>
    <w:p w:rsidR="00052D56" w:rsidRDefault="00052D56" w:rsidP="00052D56">
      <w:r>
        <w:t>Es posible, adicionalmente, que la inversión de la iniciativa privada ocurra ya en la actualidad, por ejemplo en la participación en organismos operadores, igualmente son viables empresas de capacitación para la producción de productos agrícolas de alta densidad económica.</w:t>
      </w:r>
    </w:p>
    <w:p w:rsidR="000F3AF4" w:rsidRPr="00B0399A" w:rsidRDefault="000F3AF4" w:rsidP="008011C2">
      <w:pPr>
        <w:ind w:firstLine="0"/>
        <w:outlineLvl w:val="0"/>
      </w:pPr>
      <w:r w:rsidRPr="00EF083B">
        <w:rPr>
          <w:b/>
        </w:rPr>
        <w:t>Línea Estrat</w:t>
      </w:r>
      <w:r>
        <w:rPr>
          <w:b/>
        </w:rPr>
        <w:t>égica 4</w:t>
      </w:r>
      <w:r w:rsidRPr="00EF083B">
        <w:rPr>
          <w:b/>
        </w:rPr>
        <w:t>.</w:t>
      </w:r>
      <w:r>
        <w:rPr>
          <w:b/>
        </w:rPr>
        <w:t xml:space="preserve"> 5</w:t>
      </w:r>
      <w:r w:rsidRPr="00EF083B">
        <w:rPr>
          <w:b/>
        </w:rPr>
        <w:t>.</w:t>
      </w:r>
      <w:r>
        <w:t xml:space="preserve">  </w:t>
      </w:r>
      <w:r w:rsidRPr="00B0399A">
        <w:t>Gestión de programas de apoyo</w:t>
      </w:r>
    </w:p>
    <w:p w:rsidR="00052D56" w:rsidRDefault="00052D56" w:rsidP="00052D56">
      <w:r w:rsidRPr="006D1ADE">
        <w:rPr>
          <w:i/>
        </w:rPr>
        <w:t>Línea de acción 4.5.1.</w:t>
      </w:r>
      <w:r w:rsidRPr="006D1ADE">
        <w:t xml:space="preserve"> Gestionar recursos financieros para fomentar la participación social e</w:t>
      </w:r>
      <w:r w:rsidRPr="00B0399A">
        <w:t xml:space="preserve"> institucional</w:t>
      </w:r>
    </w:p>
    <w:p w:rsidR="00052D56" w:rsidRDefault="00052D56" w:rsidP="00052D56">
      <w:r>
        <w:t xml:space="preserve">La participación social e institucional es indispensable para alcanzar un manejo sustentable del agua.  Para fomentar la participación social e institucional, es necesario contar con los recursos para comunicar las estrategias y el papel que cada uno debe realizar de acuerdo con la estrategia de manejo del acuífero, mientras que simultáneamente debe contar con una coordinación en </w:t>
      </w:r>
      <w:proofErr w:type="spellStart"/>
      <w:r>
        <w:t>lo</w:t>
      </w:r>
      <w:proofErr w:type="spellEnd"/>
      <w:r>
        <w:t xml:space="preserve"> términos jurídicos y financieros para que las instituciones que regulan las leyes en la sociedad y específicamente las relacionadas con el agua, logren cumplir con su cometido.  En este sentido es necesario comunicar a los involucrados con las soluciones propuestas en el plan de manejo:</w:t>
      </w:r>
    </w:p>
    <w:p w:rsidR="00052D56" w:rsidRDefault="00052D56" w:rsidP="000E30F2">
      <w:pPr>
        <w:numPr>
          <w:ilvl w:val="0"/>
          <w:numId w:val="115"/>
        </w:numPr>
      </w:pPr>
      <w:r>
        <w:t>Cuál es su papel en torno a las soluciones.  Lo cual incluye el conocimiento de los programas sociales de apoyo para lograr la ejecución de las soluciones</w:t>
      </w:r>
    </w:p>
    <w:p w:rsidR="00052D56" w:rsidRDefault="00052D56" w:rsidP="000E30F2">
      <w:pPr>
        <w:numPr>
          <w:ilvl w:val="0"/>
          <w:numId w:val="115"/>
        </w:numPr>
      </w:pPr>
      <w:r>
        <w:t>El beneficio de llevar a cabo las acciones</w:t>
      </w:r>
    </w:p>
    <w:p w:rsidR="000F3AF4" w:rsidRPr="00B0399A" w:rsidRDefault="00052D56" w:rsidP="000E30F2">
      <w:pPr>
        <w:numPr>
          <w:ilvl w:val="0"/>
          <w:numId w:val="115"/>
        </w:numPr>
      </w:pPr>
      <w:r>
        <w:t>La obligatoriedad de las acciones a realizar</w:t>
      </w:r>
    </w:p>
    <w:p w:rsidR="000F3AF4" w:rsidRPr="00B0399A" w:rsidRDefault="000F3AF4" w:rsidP="008011C2">
      <w:pPr>
        <w:ind w:firstLine="0"/>
        <w:outlineLvl w:val="0"/>
      </w:pPr>
      <w:r w:rsidRPr="00EF083B">
        <w:rPr>
          <w:b/>
        </w:rPr>
        <w:t>Línea Estrat</w:t>
      </w:r>
      <w:r>
        <w:rPr>
          <w:b/>
        </w:rPr>
        <w:t>égica 4</w:t>
      </w:r>
      <w:r w:rsidRPr="00EF083B">
        <w:rPr>
          <w:b/>
        </w:rPr>
        <w:t>.</w:t>
      </w:r>
      <w:r>
        <w:rPr>
          <w:b/>
        </w:rPr>
        <w:t xml:space="preserve"> 6</w:t>
      </w:r>
      <w:r w:rsidRPr="00EF083B">
        <w:rPr>
          <w:b/>
        </w:rPr>
        <w:t>.</w:t>
      </w:r>
      <w:r>
        <w:t xml:space="preserve">  </w:t>
      </w:r>
      <w:r w:rsidRPr="00B0399A">
        <w:t xml:space="preserve">Gestión social y política </w:t>
      </w:r>
    </w:p>
    <w:p w:rsidR="00052D56" w:rsidRDefault="00052D56" w:rsidP="00052D56">
      <w:r w:rsidRPr="006D1ADE">
        <w:rPr>
          <w:i/>
        </w:rPr>
        <w:t>Línea de acción 4.6.1.</w:t>
      </w:r>
      <w:r w:rsidRPr="006D1ADE">
        <w:t xml:space="preserve"> Gestión del Plan de Manejo con congruencia en los tres niveles de</w:t>
      </w:r>
      <w:r>
        <w:t xml:space="preserve"> gobierno y a través de las legislaturas locales</w:t>
      </w:r>
    </w:p>
    <w:p w:rsidR="00052D56" w:rsidRDefault="00052D56" w:rsidP="00052D56">
      <w:r>
        <w:t xml:space="preserve">Es necesario que </w:t>
      </w:r>
    </w:p>
    <w:p w:rsidR="00052D56" w:rsidRDefault="00052D56" w:rsidP="000E30F2">
      <w:pPr>
        <w:numPr>
          <w:ilvl w:val="0"/>
          <w:numId w:val="116"/>
        </w:numPr>
      </w:pPr>
      <w:r>
        <w:lastRenderedPageBreak/>
        <w:t>En el más alto nivel político se promuevan los programas de incidencia hídrica.  Únicamente con una congruencia de las decisiones de alto nivel con las estrategias a realizar, será posible comprometer el esfuerzo común hacia las soluciones propuestas en el Plan de Manejo.  Para este fin, es necesario que tanto el COTAS como sus instituciones, tengan una incidencia en la definición y actualización del marco normativo nacional, promoviendo que sea actualizado y adecuado en forma congruente con las necesidades del sector y no en contra de las mismas.</w:t>
      </w:r>
    </w:p>
    <w:p w:rsidR="00052D56" w:rsidRDefault="00052D56" w:rsidP="000E30F2">
      <w:pPr>
        <w:numPr>
          <w:ilvl w:val="0"/>
          <w:numId w:val="116"/>
        </w:numPr>
      </w:pPr>
      <w:r>
        <w:t>Tanto el gobierno federal, como los gobernantes de los estados y municipios deben tener conocimiento de la situación de estos importantes acuíferos, de las estrategias establecidas para su manejo sustentable y de su papel en torno al logro de estas soluciones.  Deben corresponder en dicho sentido y procurar un consenso de sus iniciativas al nivel de los COTAS, con ello se evitará la contraposición de políticas públicas.</w:t>
      </w:r>
    </w:p>
    <w:p w:rsidR="00052D56" w:rsidRDefault="00052D56" w:rsidP="000E30F2">
      <w:pPr>
        <w:numPr>
          <w:ilvl w:val="0"/>
          <w:numId w:val="116"/>
        </w:numPr>
      </w:pPr>
      <w:r>
        <w:t>Es igualmente necesario que los Planes Estatales y municipales de desarrollo, ocurran reconociendo las iniciativas del Plan de Manejo, en forma congruente y convergente.</w:t>
      </w:r>
    </w:p>
    <w:p w:rsidR="000F3AF4" w:rsidRPr="00B0399A" w:rsidRDefault="000F3AF4" w:rsidP="000F3AF4">
      <w:pPr>
        <w:ind w:firstLine="0"/>
      </w:pPr>
      <w:r w:rsidRPr="00EF083B">
        <w:rPr>
          <w:b/>
        </w:rPr>
        <w:t>Línea Estrat</w:t>
      </w:r>
      <w:r>
        <w:rPr>
          <w:b/>
        </w:rPr>
        <w:t>égica 4</w:t>
      </w:r>
      <w:r w:rsidRPr="00EF083B">
        <w:rPr>
          <w:b/>
        </w:rPr>
        <w:t>.</w:t>
      </w:r>
      <w:r>
        <w:rPr>
          <w:b/>
        </w:rPr>
        <w:t xml:space="preserve"> 7</w:t>
      </w:r>
      <w:r w:rsidRPr="00EF083B">
        <w:rPr>
          <w:b/>
        </w:rPr>
        <w:t>.</w:t>
      </w:r>
      <w:r>
        <w:t xml:space="preserve">  </w:t>
      </w:r>
      <w:r w:rsidRPr="00B0399A">
        <w:t>Optimización de tarifas y recursos hídricos</w:t>
      </w:r>
    </w:p>
    <w:p w:rsidR="000F3AF4" w:rsidRDefault="000F3AF4" w:rsidP="000F3AF4">
      <w:pPr>
        <w:ind w:firstLine="0"/>
      </w:pPr>
      <w:r w:rsidRPr="00EF083B">
        <w:rPr>
          <w:i/>
        </w:rPr>
        <w:t xml:space="preserve">Línea de acción </w:t>
      </w:r>
      <w:r>
        <w:rPr>
          <w:i/>
        </w:rPr>
        <w:t>4.7.1</w:t>
      </w:r>
      <w:r w:rsidRPr="00EF083B">
        <w:rPr>
          <w:i/>
        </w:rPr>
        <w:t>.</w:t>
      </w:r>
      <w:r>
        <w:t xml:space="preserve"> </w:t>
      </w:r>
      <w:r w:rsidRPr="00B0399A">
        <w:t>Difusión del concepto de pago por servicios ambientales</w:t>
      </w:r>
    </w:p>
    <w:p w:rsidR="000F3AF4" w:rsidRDefault="000F3AF4" w:rsidP="006D1ADE">
      <w:r>
        <w:t>El pago por servicios ambientales es una importante modalidad de carácter internacional, que reconocer el valor que el medio confiere al nivel social de vida.  A través del reconocimiento de este valor, se han definido cuotas para pagar a los cuidadores del ambiente en aras de que dicho pago resulta menor al beneficio que representa la función de proteger el ambiente.</w:t>
      </w:r>
    </w:p>
    <w:p w:rsidR="000F3AF4" w:rsidRPr="00B0399A" w:rsidRDefault="000F3AF4" w:rsidP="006D1ADE">
      <w:r>
        <w:t>Sin embargó, es necesario que aquellos habitantes ubicados en áreas donde se promueven los programas de pago por servicios ambientales, se encuentren enterados de estas medidas y puedan tanto beneficiarse como beneficiar a su entorno.</w:t>
      </w:r>
    </w:p>
    <w:p w:rsidR="000F3AF4" w:rsidRDefault="000F3AF4" w:rsidP="000F3AF4">
      <w:pPr>
        <w:ind w:firstLine="0"/>
      </w:pPr>
      <w:r w:rsidRPr="00EF083B">
        <w:rPr>
          <w:i/>
        </w:rPr>
        <w:t xml:space="preserve">Línea de acción </w:t>
      </w:r>
      <w:r>
        <w:rPr>
          <w:i/>
        </w:rPr>
        <w:t>4.7.2</w:t>
      </w:r>
      <w:r w:rsidRPr="00EF083B">
        <w:rPr>
          <w:i/>
        </w:rPr>
        <w:t>.</w:t>
      </w:r>
      <w:r>
        <w:t xml:space="preserve"> </w:t>
      </w:r>
      <w:r w:rsidRPr="00B0399A">
        <w:t>Identificación de áreas de oportunidad para el desarrollo socioeconómico</w:t>
      </w:r>
    </w:p>
    <w:p w:rsidR="000F3AF4" w:rsidRPr="00B0399A" w:rsidRDefault="000F3AF4" w:rsidP="006D1ADE">
      <w:r>
        <w:t>Dado que uno de los fines de la planeación hídrica es mejorar la calidad de vida, es necesario conocer las alternativas que existen como opciones para lograr tanto un mayor desarrollo socioeconómico, como un manejo sostenible del agua subterránea.</w:t>
      </w:r>
    </w:p>
    <w:p w:rsidR="00BE6122" w:rsidRDefault="00BE6122" w:rsidP="00BE6122">
      <w:r w:rsidRPr="006D1ADE">
        <w:rPr>
          <w:i/>
        </w:rPr>
        <w:t>Línea de acción 4.7.3.</w:t>
      </w:r>
      <w:r w:rsidRPr="006D1ADE">
        <w:t xml:space="preserve"> Establecimiento de tarifas u otros atributos que contribuyan a reducir la</w:t>
      </w:r>
      <w:r>
        <w:t xml:space="preserve"> degradación hídrica y ambiental de la cuenca</w:t>
      </w:r>
    </w:p>
    <w:p w:rsidR="00BE6122" w:rsidRDefault="00BE6122" w:rsidP="00BE6122">
      <w:r>
        <w:t>Será útil contar con un estudio de v</w:t>
      </w:r>
      <w:r w:rsidRPr="00B0399A">
        <w:t>aloración económica del agua</w:t>
      </w:r>
      <w:r>
        <w:t>.  El agua tiene un valor que, tal como se describe en el capítulo de costos económicos ambientales del presente estudio, puede tener aspectos imperceptibles a simple vista.  El valor no sólo atañe la situación del costo económico y del mercado, incluye también la importancia de este recurso para la vida, para la salud e incluso su importancia en lo referente a tradiciones e identidad sociológica y cultural del ser humano.  Una medida para proteger el agua es la identificación de su importancia geográfica y las implicaciones del agotamiento tanto de su calidad como de su volumen.</w:t>
      </w:r>
    </w:p>
    <w:p w:rsidR="00BE6122" w:rsidRPr="00B0399A" w:rsidRDefault="00BE6122" w:rsidP="00BE6122">
      <w:r>
        <w:lastRenderedPageBreak/>
        <w:t>Es por ello necesario contar con instrumentos económicos como son las tarifas, que permitan a la sociedad percibir el orden de importancia que tiene el agua por sobre otros recursos de la vida cotidiana.  En ese respecto, se considera necesario contar con mecanismos para el Establecimiento de tarifas u otros atributos que contribuyan a reducir la degradación hídrica y ambiental de la cuenca y adicionalmente, un Estudio específico de valor, precio y costo del agua en la cuenca Libres-Oriental.</w:t>
      </w:r>
    </w:p>
    <w:p w:rsidR="000F3AF4" w:rsidRDefault="000F3AF4" w:rsidP="008011C2">
      <w:pPr>
        <w:ind w:firstLine="0"/>
        <w:outlineLvl w:val="0"/>
      </w:pPr>
      <w:r w:rsidRPr="00EF083B">
        <w:rPr>
          <w:b/>
        </w:rPr>
        <w:t>Línea Estrat</w:t>
      </w:r>
      <w:r>
        <w:rPr>
          <w:b/>
        </w:rPr>
        <w:t>égica 4</w:t>
      </w:r>
      <w:r w:rsidRPr="00EF083B">
        <w:rPr>
          <w:b/>
        </w:rPr>
        <w:t>.</w:t>
      </w:r>
      <w:r>
        <w:rPr>
          <w:b/>
        </w:rPr>
        <w:t xml:space="preserve"> 8</w:t>
      </w:r>
      <w:r w:rsidRPr="00EF083B">
        <w:rPr>
          <w:b/>
        </w:rPr>
        <w:t>.</w:t>
      </w:r>
      <w:r>
        <w:t xml:space="preserve">  </w:t>
      </w:r>
      <w:r w:rsidRPr="00B0399A">
        <w:t>Sistemas de información</w:t>
      </w:r>
    </w:p>
    <w:p w:rsidR="00BE6122" w:rsidRDefault="00BE6122" w:rsidP="00BE6122">
      <w:r w:rsidRPr="006D1ADE">
        <w:rPr>
          <w:i/>
        </w:rPr>
        <w:t>Línea de acción 4.8.1.</w:t>
      </w:r>
      <w:r w:rsidRPr="006D1ADE">
        <w:t xml:space="preserve"> Censo de aprovechamientos superficiales y subterráneos en la cuenca</w:t>
      </w:r>
      <w:r>
        <w:t xml:space="preserve"> Libres - Oriental</w:t>
      </w:r>
    </w:p>
    <w:p w:rsidR="00BE6122" w:rsidRDefault="00BE6122" w:rsidP="00BE6122">
      <w:r>
        <w:t>El censo de aprovechamientos más reciente de estos acuíferos, corresponde al año de 1996, cuando se registraron poco más de mil aprovechamientos.  Actualmente, el REPDA tiene registrados 1,381 aprovechamientos y se reconoce que la base de datos de este registro debe ser actualizada y verificada.  Es necesario que los censos se encuentren precisamente ligados con los títulos de concesión registrados en el REPDA y también se sugiere que sean ligados a bancos de información integrados en Sistemas de Información Geográfica capaces de congregar toda el expediente técnico de cada uno de los tres acuíferos, donde se visualicen también imágenes de satélite recientes, antiguas, de gran resolución y de contexto regional.  El censo de infraestructura debe actualizarse recurrentemente para asegurar que se encuentre actualizado y de hecho, es conveniente contar con mecanismos para la automatización de su actualización a través de una liga confiable con el REPDA.</w:t>
      </w:r>
    </w:p>
    <w:p w:rsidR="00BE6122" w:rsidRPr="006D1ADE" w:rsidRDefault="00BE6122" w:rsidP="00BE6122">
      <w:r w:rsidRPr="006D1ADE">
        <w:rPr>
          <w:i/>
        </w:rPr>
        <w:t>Línea de acción 4.8.2.</w:t>
      </w:r>
      <w:r w:rsidRPr="006D1ADE">
        <w:t xml:space="preserve"> Colocación de </w:t>
      </w:r>
      <w:proofErr w:type="spellStart"/>
      <w:r w:rsidRPr="006D1ADE">
        <w:t>micromedidores</w:t>
      </w:r>
      <w:proofErr w:type="spellEnd"/>
      <w:r w:rsidRPr="006D1ADE">
        <w:t xml:space="preserve"> en localidades urbanas </w:t>
      </w:r>
    </w:p>
    <w:p w:rsidR="00BE6122" w:rsidRDefault="00BE6122" w:rsidP="00BE6122">
      <w:pPr>
        <w:ind w:firstLine="0"/>
      </w:pPr>
      <w:r>
        <w:t xml:space="preserve">Parte de la mejora de los organismos operadores se relaciona con la colocación de </w:t>
      </w:r>
      <w:proofErr w:type="spellStart"/>
      <w:r>
        <w:t>micromedidores</w:t>
      </w:r>
      <w:proofErr w:type="spellEnd"/>
      <w:r>
        <w:t>, que tendrán una función de gran valor para el conocimiento del régimen de consumo de agua potable en sus diversos usos.</w:t>
      </w:r>
    </w:p>
    <w:p w:rsidR="00BE6122" w:rsidRDefault="00BE6122" w:rsidP="00BE6122">
      <w:pPr>
        <w:ind w:firstLine="0"/>
      </w:pPr>
      <w:r>
        <w:t xml:space="preserve">La cobertura actual de </w:t>
      </w:r>
      <w:proofErr w:type="spellStart"/>
      <w:r>
        <w:t>micromedición</w:t>
      </w:r>
      <w:proofErr w:type="spellEnd"/>
      <w:r>
        <w:t xml:space="preserve"> en el área de estudio es de 45.6%, y se espera que en el año 2040 llegue al 88.4%, para lo cual se requerirá de la instalación de 101,028 </w:t>
      </w:r>
      <w:proofErr w:type="spellStart"/>
      <w:r>
        <w:t>micromedidores</w:t>
      </w:r>
      <w:proofErr w:type="spellEnd"/>
      <w:r>
        <w:t>.</w:t>
      </w:r>
    </w:p>
    <w:p w:rsidR="00BE6122" w:rsidRPr="001A7174" w:rsidRDefault="00BE6122" w:rsidP="00BE6122">
      <w:pPr>
        <w:pStyle w:val="Tabla1cap12"/>
        <w:ind w:left="56" w:firstLine="10"/>
        <w:rPr>
          <w:lang w:val="es-MX"/>
        </w:rPr>
      </w:pPr>
      <w:bookmarkStart w:id="210" w:name="_Toc273962906"/>
      <w:r w:rsidRPr="001A7174">
        <w:rPr>
          <w:lang w:val="es-MX"/>
        </w:rPr>
        <w:t xml:space="preserve">Área de estudio. Instalación de </w:t>
      </w:r>
      <w:proofErr w:type="spellStart"/>
      <w:r w:rsidRPr="001A7174">
        <w:rPr>
          <w:lang w:val="es-MX"/>
        </w:rPr>
        <w:t>micromedidores</w:t>
      </w:r>
      <w:bookmarkEnd w:id="210"/>
      <w:proofErr w:type="spellEnd"/>
      <w:r w:rsidRPr="001A7174">
        <w:rPr>
          <w:lang w:val="es-MX"/>
        </w:rPr>
        <w:t xml:space="preserve"> </w:t>
      </w:r>
    </w:p>
    <w:tbl>
      <w:tblPr>
        <w:tblW w:w="9889" w:type="dxa"/>
        <w:tblBorders>
          <w:top w:val="single" w:sz="12" w:space="0" w:color="008000"/>
          <w:bottom w:val="single" w:sz="12" w:space="0" w:color="008000"/>
        </w:tblBorders>
        <w:tblLayout w:type="fixed"/>
        <w:tblLook w:val="04E0"/>
      </w:tblPr>
      <w:tblGrid>
        <w:gridCol w:w="1809"/>
        <w:gridCol w:w="1134"/>
        <w:gridCol w:w="993"/>
        <w:gridCol w:w="850"/>
        <w:gridCol w:w="851"/>
        <w:gridCol w:w="850"/>
        <w:gridCol w:w="851"/>
        <w:gridCol w:w="850"/>
        <w:gridCol w:w="851"/>
        <w:gridCol w:w="850"/>
      </w:tblGrid>
      <w:tr w:rsidR="00BE6122" w:rsidRPr="00635405" w:rsidTr="006D1ADE">
        <w:trPr>
          <w:tblHeader/>
        </w:trPr>
        <w:tc>
          <w:tcPr>
            <w:tcW w:w="1809"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Acuífero</w:t>
            </w:r>
          </w:p>
        </w:tc>
        <w:tc>
          <w:tcPr>
            <w:tcW w:w="1134"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Tipo de localidad</w:t>
            </w:r>
          </w:p>
        </w:tc>
        <w:tc>
          <w:tcPr>
            <w:tcW w:w="993"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Total</w:t>
            </w:r>
          </w:p>
        </w:tc>
        <w:tc>
          <w:tcPr>
            <w:tcW w:w="850"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2009</w:t>
            </w:r>
          </w:p>
        </w:tc>
        <w:tc>
          <w:tcPr>
            <w:tcW w:w="851"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2012</w:t>
            </w:r>
          </w:p>
        </w:tc>
        <w:tc>
          <w:tcPr>
            <w:tcW w:w="850"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2018</w:t>
            </w:r>
          </w:p>
        </w:tc>
        <w:tc>
          <w:tcPr>
            <w:tcW w:w="851"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2024</w:t>
            </w:r>
          </w:p>
        </w:tc>
        <w:tc>
          <w:tcPr>
            <w:tcW w:w="850"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2030</w:t>
            </w:r>
          </w:p>
        </w:tc>
        <w:tc>
          <w:tcPr>
            <w:tcW w:w="851"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2035</w:t>
            </w:r>
          </w:p>
        </w:tc>
        <w:tc>
          <w:tcPr>
            <w:tcW w:w="850" w:type="dxa"/>
            <w:tcBorders>
              <w:bottom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2040</w:t>
            </w:r>
          </w:p>
        </w:tc>
      </w:tr>
      <w:tr w:rsidR="00BE6122" w:rsidRPr="00635405" w:rsidTr="006D1ADE">
        <w:tc>
          <w:tcPr>
            <w:tcW w:w="1809" w:type="dxa"/>
            <w:tcBorders>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Libres - Oriental</w:t>
            </w:r>
          </w:p>
        </w:tc>
        <w:tc>
          <w:tcPr>
            <w:tcW w:w="1134" w:type="dxa"/>
            <w:tcBorders>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Urbana</w:t>
            </w:r>
          </w:p>
        </w:tc>
        <w:tc>
          <w:tcPr>
            <w:tcW w:w="993"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15,536</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19,927</w:t>
            </w:r>
          </w:p>
        </w:tc>
        <w:tc>
          <w:tcPr>
            <w:tcW w:w="851"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1,537</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3,111</w:t>
            </w:r>
          </w:p>
        </w:tc>
        <w:tc>
          <w:tcPr>
            <w:tcW w:w="851"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3,137</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3,067</w:t>
            </w:r>
          </w:p>
        </w:tc>
        <w:tc>
          <w:tcPr>
            <w:tcW w:w="851"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2,429</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2,254</w:t>
            </w:r>
          </w:p>
        </w:tc>
      </w:tr>
      <w:tr w:rsidR="00BE6122" w:rsidRPr="00635405" w:rsidTr="006D1ADE">
        <w:tc>
          <w:tcPr>
            <w:tcW w:w="1809" w:type="dxa"/>
            <w:tcBorders>
              <w:top w:val="nil"/>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Libres - Oriental</w:t>
            </w:r>
          </w:p>
        </w:tc>
        <w:tc>
          <w:tcPr>
            <w:tcW w:w="1134" w:type="dxa"/>
            <w:tcBorders>
              <w:top w:val="nil"/>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Rural</w:t>
            </w:r>
          </w:p>
        </w:tc>
        <w:tc>
          <w:tcPr>
            <w:tcW w:w="993"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24,056</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6,737</w:t>
            </w:r>
          </w:p>
        </w:tc>
        <w:tc>
          <w:tcPr>
            <w:tcW w:w="851"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2,274</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4,608</w:t>
            </w:r>
          </w:p>
        </w:tc>
        <w:tc>
          <w:tcPr>
            <w:tcW w:w="851"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4,713</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4,751</w:t>
            </w:r>
          </w:p>
        </w:tc>
        <w:tc>
          <w:tcPr>
            <w:tcW w:w="851"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3,827</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3,883</w:t>
            </w:r>
          </w:p>
        </w:tc>
      </w:tr>
      <w:tr w:rsidR="00BE6122" w:rsidRPr="00BF5CC6" w:rsidTr="006D1ADE">
        <w:tc>
          <w:tcPr>
            <w:tcW w:w="1809" w:type="dxa"/>
            <w:tcBorders>
              <w:top w:val="nil"/>
            </w:tcBorders>
            <w:shd w:val="clear" w:color="auto" w:fill="auto"/>
          </w:tcPr>
          <w:p w:rsidR="00BE6122" w:rsidRPr="00BF5CC6" w:rsidRDefault="00BE6122" w:rsidP="000E30F2">
            <w:pPr>
              <w:spacing w:before="0" w:after="0" w:line="240" w:lineRule="auto"/>
              <w:ind w:firstLine="0"/>
              <w:rPr>
                <w:sz w:val="20"/>
              </w:rPr>
            </w:pPr>
            <w:r w:rsidRPr="00BF5CC6">
              <w:rPr>
                <w:sz w:val="20"/>
              </w:rPr>
              <w:t>Libres - Oriental</w:t>
            </w:r>
          </w:p>
        </w:tc>
        <w:tc>
          <w:tcPr>
            <w:tcW w:w="1134" w:type="dxa"/>
            <w:tcBorders>
              <w:top w:val="nil"/>
            </w:tcBorders>
            <w:shd w:val="clear" w:color="auto" w:fill="auto"/>
          </w:tcPr>
          <w:p w:rsidR="00BE6122" w:rsidRPr="00BF5CC6" w:rsidRDefault="00BE6122" w:rsidP="000E30F2">
            <w:pPr>
              <w:spacing w:before="0" w:after="0" w:line="240" w:lineRule="auto"/>
              <w:ind w:firstLine="0"/>
              <w:rPr>
                <w:sz w:val="20"/>
              </w:rPr>
            </w:pPr>
            <w:r>
              <w:rPr>
                <w:sz w:val="20"/>
              </w:rPr>
              <w:t>Subtotal</w:t>
            </w:r>
          </w:p>
        </w:tc>
        <w:tc>
          <w:tcPr>
            <w:tcW w:w="993"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39,591</w:t>
            </w:r>
          </w:p>
        </w:tc>
        <w:tc>
          <w:tcPr>
            <w:tcW w:w="850"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21,446</w:t>
            </w:r>
          </w:p>
        </w:tc>
        <w:tc>
          <w:tcPr>
            <w:tcW w:w="851"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3,812</w:t>
            </w:r>
          </w:p>
        </w:tc>
        <w:tc>
          <w:tcPr>
            <w:tcW w:w="850"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7,719</w:t>
            </w:r>
          </w:p>
        </w:tc>
        <w:tc>
          <w:tcPr>
            <w:tcW w:w="851"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7,850</w:t>
            </w:r>
          </w:p>
        </w:tc>
        <w:tc>
          <w:tcPr>
            <w:tcW w:w="850"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7,818</w:t>
            </w:r>
          </w:p>
        </w:tc>
        <w:tc>
          <w:tcPr>
            <w:tcW w:w="851"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6,256</w:t>
            </w:r>
          </w:p>
        </w:tc>
        <w:tc>
          <w:tcPr>
            <w:tcW w:w="850" w:type="dxa"/>
            <w:tcBorders>
              <w:top w:val="nil"/>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6,137</w:t>
            </w:r>
          </w:p>
        </w:tc>
      </w:tr>
      <w:tr w:rsidR="00BE6122" w:rsidRPr="00635405" w:rsidTr="006D1ADE">
        <w:tc>
          <w:tcPr>
            <w:tcW w:w="1809" w:type="dxa"/>
            <w:tcBorders>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Huamantla</w:t>
            </w:r>
          </w:p>
        </w:tc>
        <w:tc>
          <w:tcPr>
            <w:tcW w:w="1134" w:type="dxa"/>
            <w:tcBorders>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Urbana</w:t>
            </w:r>
          </w:p>
        </w:tc>
        <w:tc>
          <w:tcPr>
            <w:tcW w:w="993"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20,642</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14,709</w:t>
            </w:r>
          </w:p>
        </w:tc>
        <w:tc>
          <w:tcPr>
            <w:tcW w:w="851"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1,663</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3,584</w:t>
            </w:r>
          </w:p>
        </w:tc>
        <w:tc>
          <w:tcPr>
            <w:tcW w:w="851"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3,922</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4,184</w:t>
            </w:r>
          </w:p>
        </w:tc>
        <w:tc>
          <w:tcPr>
            <w:tcW w:w="851"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3,619</w:t>
            </w:r>
          </w:p>
        </w:tc>
        <w:tc>
          <w:tcPr>
            <w:tcW w:w="850" w:type="dxa"/>
            <w:tcBorders>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3,670</w:t>
            </w:r>
          </w:p>
        </w:tc>
      </w:tr>
      <w:tr w:rsidR="00BE6122" w:rsidRPr="00635405" w:rsidTr="006D1ADE">
        <w:tc>
          <w:tcPr>
            <w:tcW w:w="1809" w:type="dxa"/>
            <w:tcBorders>
              <w:top w:val="nil"/>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Huamantla</w:t>
            </w:r>
          </w:p>
        </w:tc>
        <w:tc>
          <w:tcPr>
            <w:tcW w:w="1134" w:type="dxa"/>
            <w:tcBorders>
              <w:top w:val="nil"/>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Rural</w:t>
            </w:r>
          </w:p>
        </w:tc>
        <w:tc>
          <w:tcPr>
            <w:tcW w:w="993"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6,985</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1,574</w:t>
            </w:r>
          </w:p>
        </w:tc>
        <w:tc>
          <w:tcPr>
            <w:tcW w:w="851"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574</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1,212</w:t>
            </w:r>
          </w:p>
        </w:tc>
        <w:tc>
          <w:tcPr>
            <w:tcW w:w="851"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1,317</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1,400</w:t>
            </w:r>
          </w:p>
        </w:tc>
        <w:tc>
          <w:tcPr>
            <w:tcW w:w="851"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1,199</w:t>
            </w:r>
          </w:p>
        </w:tc>
        <w:tc>
          <w:tcPr>
            <w:tcW w:w="850" w:type="dxa"/>
            <w:tcBorders>
              <w:top w:val="nil"/>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1,282</w:t>
            </w:r>
          </w:p>
        </w:tc>
      </w:tr>
      <w:tr w:rsidR="00BE6122" w:rsidRPr="00BF5CC6" w:rsidTr="006D1ADE">
        <w:tc>
          <w:tcPr>
            <w:tcW w:w="1809" w:type="dxa"/>
            <w:tcBorders>
              <w:top w:val="nil"/>
              <w:bottom w:val="single" w:sz="12" w:space="0" w:color="008000"/>
            </w:tcBorders>
            <w:shd w:val="clear" w:color="auto" w:fill="auto"/>
          </w:tcPr>
          <w:p w:rsidR="00BE6122" w:rsidRPr="00BF5CC6" w:rsidRDefault="00BE6122" w:rsidP="000E30F2">
            <w:pPr>
              <w:spacing w:before="0" w:after="0" w:line="240" w:lineRule="auto"/>
              <w:ind w:firstLine="0"/>
              <w:rPr>
                <w:sz w:val="20"/>
              </w:rPr>
            </w:pPr>
            <w:r w:rsidRPr="00BF5CC6">
              <w:rPr>
                <w:sz w:val="20"/>
              </w:rPr>
              <w:t>Huamantla</w:t>
            </w:r>
          </w:p>
        </w:tc>
        <w:tc>
          <w:tcPr>
            <w:tcW w:w="1134" w:type="dxa"/>
            <w:tcBorders>
              <w:top w:val="nil"/>
              <w:bottom w:val="single" w:sz="12" w:space="0" w:color="008000"/>
            </w:tcBorders>
            <w:shd w:val="clear" w:color="auto" w:fill="auto"/>
          </w:tcPr>
          <w:p w:rsidR="00BE6122" w:rsidRPr="00BF5CC6" w:rsidRDefault="00BE6122" w:rsidP="000E30F2">
            <w:pPr>
              <w:spacing w:before="0" w:after="0" w:line="240" w:lineRule="auto"/>
              <w:ind w:firstLine="0"/>
              <w:rPr>
                <w:sz w:val="20"/>
              </w:rPr>
            </w:pPr>
            <w:r>
              <w:rPr>
                <w:sz w:val="20"/>
              </w:rPr>
              <w:t>Subtotal</w:t>
            </w:r>
          </w:p>
        </w:tc>
        <w:tc>
          <w:tcPr>
            <w:tcW w:w="993"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27,627</w:t>
            </w:r>
          </w:p>
        </w:tc>
        <w:tc>
          <w:tcPr>
            <w:tcW w:w="850"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16,283</w:t>
            </w:r>
          </w:p>
        </w:tc>
        <w:tc>
          <w:tcPr>
            <w:tcW w:w="851"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2,238</w:t>
            </w:r>
          </w:p>
        </w:tc>
        <w:tc>
          <w:tcPr>
            <w:tcW w:w="850"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4,796</w:t>
            </w:r>
          </w:p>
        </w:tc>
        <w:tc>
          <w:tcPr>
            <w:tcW w:w="851"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5,239</w:t>
            </w:r>
          </w:p>
        </w:tc>
        <w:tc>
          <w:tcPr>
            <w:tcW w:w="850"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5,584</w:t>
            </w:r>
          </w:p>
        </w:tc>
        <w:tc>
          <w:tcPr>
            <w:tcW w:w="851"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4,819</w:t>
            </w:r>
          </w:p>
        </w:tc>
        <w:tc>
          <w:tcPr>
            <w:tcW w:w="850" w:type="dxa"/>
            <w:tcBorders>
              <w:top w:val="nil"/>
              <w:bottom w:val="single" w:sz="12" w:space="0" w:color="008000"/>
            </w:tcBorders>
            <w:shd w:val="clear" w:color="auto" w:fill="auto"/>
          </w:tcPr>
          <w:p w:rsidR="00BE6122" w:rsidRPr="00BF5CC6" w:rsidRDefault="00BE6122" w:rsidP="000E30F2">
            <w:pPr>
              <w:spacing w:before="0" w:after="0" w:line="240" w:lineRule="auto"/>
              <w:ind w:firstLine="0"/>
              <w:jc w:val="right"/>
              <w:rPr>
                <w:sz w:val="20"/>
              </w:rPr>
            </w:pPr>
            <w:r w:rsidRPr="00BF5CC6">
              <w:rPr>
                <w:sz w:val="20"/>
              </w:rPr>
              <w:t>4,953</w:t>
            </w:r>
          </w:p>
        </w:tc>
      </w:tr>
      <w:tr w:rsidR="00BE6122" w:rsidRPr="00635405" w:rsidTr="006D1ADE">
        <w:tc>
          <w:tcPr>
            <w:tcW w:w="1809" w:type="dxa"/>
            <w:tcBorders>
              <w:top w:val="single" w:sz="12" w:space="0" w:color="008000"/>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Perote</w:t>
            </w:r>
          </w:p>
        </w:tc>
        <w:tc>
          <w:tcPr>
            <w:tcW w:w="1134" w:type="dxa"/>
            <w:tcBorders>
              <w:top w:val="single" w:sz="12" w:space="0" w:color="008000"/>
              <w:bottom w:val="nil"/>
            </w:tcBorders>
            <w:shd w:val="clear" w:color="auto" w:fill="auto"/>
          </w:tcPr>
          <w:p w:rsidR="00BE6122" w:rsidRPr="00635405" w:rsidRDefault="00BE6122" w:rsidP="000E30F2">
            <w:pPr>
              <w:spacing w:before="0" w:after="0" w:line="240" w:lineRule="auto"/>
              <w:ind w:firstLine="0"/>
              <w:rPr>
                <w:sz w:val="20"/>
              </w:rPr>
            </w:pPr>
            <w:r w:rsidRPr="00635405">
              <w:rPr>
                <w:sz w:val="20"/>
              </w:rPr>
              <w:t>Urbana</w:t>
            </w:r>
          </w:p>
        </w:tc>
        <w:tc>
          <w:tcPr>
            <w:tcW w:w="993"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17,507</w:t>
            </w:r>
          </w:p>
        </w:tc>
        <w:tc>
          <w:tcPr>
            <w:tcW w:w="850"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12,285</w:t>
            </w:r>
          </w:p>
        </w:tc>
        <w:tc>
          <w:tcPr>
            <w:tcW w:w="851"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1,507</w:t>
            </w:r>
          </w:p>
        </w:tc>
        <w:tc>
          <w:tcPr>
            <w:tcW w:w="850"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3,216</w:t>
            </w:r>
          </w:p>
        </w:tc>
        <w:tc>
          <w:tcPr>
            <w:tcW w:w="851"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3,446</w:t>
            </w:r>
          </w:p>
        </w:tc>
        <w:tc>
          <w:tcPr>
            <w:tcW w:w="850"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3,557</w:t>
            </w:r>
          </w:p>
        </w:tc>
        <w:tc>
          <w:tcPr>
            <w:tcW w:w="851"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2,947</w:t>
            </w:r>
          </w:p>
        </w:tc>
        <w:tc>
          <w:tcPr>
            <w:tcW w:w="850" w:type="dxa"/>
            <w:tcBorders>
              <w:top w:val="single" w:sz="12" w:space="0" w:color="008000"/>
              <w:bottom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2,833</w:t>
            </w:r>
          </w:p>
        </w:tc>
      </w:tr>
      <w:tr w:rsidR="00BE6122" w:rsidRPr="00635405" w:rsidTr="006D1ADE">
        <w:tc>
          <w:tcPr>
            <w:tcW w:w="1809" w:type="dxa"/>
            <w:tcBorders>
              <w:top w:val="nil"/>
            </w:tcBorders>
            <w:shd w:val="clear" w:color="auto" w:fill="auto"/>
          </w:tcPr>
          <w:p w:rsidR="00BE6122" w:rsidRPr="00635405" w:rsidRDefault="00BE6122" w:rsidP="000E30F2">
            <w:pPr>
              <w:spacing w:before="0" w:after="0" w:line="240" w:lineRule="auto"/>
              <w:ind w:firstLine="0"/>
              <w:rPr>
                <w:sz w:val="20"/>
              </w:rPr>
            </w:pPr>
            <w:r w:rsidRPr="00635405">
              <w:rPr>
                <w:sz w:val="20"/>
              </w:rPr>
              <w:t>Perote</w:t>
            </w:r>
          </w:p>
        </w:tc>
        <w:tc>
          <w:tcPr>
            <w:tcW w:w="1134" w:type="dxa"/>
            <w:tcBorders>
              <w:top w:val="nil"/>
            </w:tcBorders>
            <w:shd w:val="clear" w:color="auto" w:fill="auto"/>
          </w:tcPr>
          <w:p w:rsidR="00BE6122" w:rsidRPr="00635405" w:rsidRDefault="00BE6122" w:rsidP="000E30F2">
            <w:pPr>
              <w:spacing w:before="0" w:after="0" w:line="240" w:lineRule="auto"/>
              <w:ind w:firstLine="0"/>
              <w:rPr>
                <w:sz w:val="20"/>
              </w:rPr>
            </w:pPr>
            <w:r w:rsidRPr="00635405">
              <w:rPr>
                <w:sz w:val="20"/>
              </w:rPr>
              <w:t>Rural</w:t>
            </w:r>
          </w:p>
        </w:tc>
        <w:tc>
          <w:tcPr>
            <w:tcW w:w="993"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16,302</w:t>
            </w:r>
          </w:p>
        </w:tc>
        <w:tc>
          <w:tcPr>
            <w:tcW w:w="850"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3,201</w:t>
            </w:r>
          </w:p>
        </w:tc>
        <w:tc>
          <w:tcPr>
            <w:tcW w:w="851"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1,227</w:t>
            </w:r>
          </w:p>
        </w:tc>
        <w:tc>
          <w:tcPr>
            <w:tcW w:w="850"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2,726</w:t>
            </w:r>
          </w:p>
        </w:tc>
        <w:tc>
          <w:tcPr>
            <w:tcW w:w="851"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3,073</w:t>
            </w:r>
          </w:p>
        </w:tc>
        <w:tc>
          <w:tcPr>
            <w:tcW w:w="850"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3,353</w:t>
            </w:r>
          </w:p>
        </w:tc>
        <w:tc>
          <w:tcPr>
            <w:tcW w:w="851"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2,911</w:t>
            </w:r>
          </w:p>
        </w:tc>
        <w:tc>
          <w:tcPr>
            <w:tcW w:w="850" w:type="dxa"/>
            <w:tcBorders>
              <w:top w:val="nil"/>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3,013</w:t>
            </w:r>
          </w:p>
        </w:tc>
      </w:tr>
      <w:tr w:rsidR="00BE6122" w:rsidRPr="00635405" w:rsidTr="006D1ADE">
        <w:tc>
          <w:tcPr>
            <w:tcW w:w="1809" w:type="dxa"/>
            <w:shd w:val="clear" w:color="auto" w:fill="auto"/>
          </w:tcPr>
          <w:p w:rsidR="00BE6122" w:rsidRPr="00635405" w:rsidRDefault="00BE6122" w:rsidP="000E30F2">
            <w:pPr>
              <w:spacing w:before="0" w:after="0" w:line="240" w:lineRule="auto"/>
              <w:ind w:firstLine="0"/>
              <w:rPr>
                <w:sz w:val="20"/>
              </w:rPr>
            </w:pPr>
            <w:r w:rsidRPr="00635405">
              <w:rPr>
                <w:sz w:val="20"/>
              </w:rPr>
              <w:t>Perote</w:t>
            </w:r>
          </w:p>
        </w:tc>
        <w:tc>
          <w:tcPr>
            <w:tcW w:w="1134" w:type="dxa"/>
            <w:shd w:val="clear" w:color="auto" w:fill="auto"/>
          </w:tcPr>
          <w:p w:rsidR="00BE6122" w:rsidRPr="00635405" w:rsidRDefault="00BE6122" w:rsidP="000E30F2">
            <w:pPr>
              <w:spacing w:before="0" w:after="0" w:line="240" w:lineRule="auto"/>
              <w:ind w:firstLine="0"/>
              <w:rPr>
                <w:sz w:val="20"/>
              </w:rPr>
            </w:pPr>
            <w:r w:rsidRPr="00635405">
              <w:rPr>
                <w:sz w:val="20"/>
              </w:rPr>
              <w:t>Subtotal</w:t>
            </w:r>
          </w:p>
        </w:tc>
        <w:tc>
          <w:tcPr>
            <w:tcW w:w="993" w:type="dxa"/>
            <w:shd w:val="clear" w:color="auto" w:fill="auto"/>
          </w:tcPr>
          <w:p w:rsidR="00BE6122" w:rsidRPr="00635405" w:rsidRDefault="00BE6122" w:rsidP="000E30F2">
            <w:pPr>
              <w:spacing w:before="0" w:after="0" w:line="240" w:lineRule="auto"/>
              <w:ind w:firstLine="0"/>
              <w:jc w:val="right"/>
              <w:rPr>
                <w:sz w:val="20"/>
              </w:rPr>
            </w:pPr>
            <w:r w:rsidRPr="00635405">
              <w:rPr>
                <w:sz w:val="20"/>
              </w:rPr>
              <w:t>33,809</w:t>
            </w:r>
          </w:p>
        </w:tc>
        <w:tc>
          <w:tcPr>
            <w:tcW w:w="850" w:type="dxa"/>
            <w:shd w:val="clear" w:color="auto" w:fill="auto"/>
          </w:tcPr>
          <w:p w:rsidR="00BE6122" w:rsidRPr="00635405" w:rsidRDefault="00BE6122" w:rsidP="000E30F2">
            <w:pPr>
              <w:spacing w:before="0" w:after="0" w:line="240" w:lineRule="auto"/>
              <w:ind w:firstLine="0"/>
              <w:jc w:val="right"/>
              <w:rPr>
                <w:sz w:val="20"/>
              </w:rPr>
            </w:pPr>
            <w:r w:rsidRPr="00635405">
              <w:rPr>
                <w:sz w:val="20"/>
              </w:rPr>
              <w:t>15,486</w:t>
            </w:r>
          </w:p>
        </w:tc>
        <w:tc>
          <w:tcPr>
            <w:tcW w:w="851" w:type="dxa"/>
            <w:shd w:val="clear" w:color="auto" w:fill="auto"/>
          </w:tcPr>
          <w:p w:rsidR="00BE6122" w:rsidRPr="00635405" w:rsidRDefault="00BE6122" w:rsidP="000E30F2">
            <w:pPr>
              <w:spacing w:before="0" w:after="0" w:line="240" w:lineRule="auto"/>
              <w:ind w:firstLine="0"/>
              <w:jc w:val="right"/>
              <w:rPr>
                <w:sz w:val="20"/>
              </w:rPr>
            </w:pPr>
            <w:r w:rsidRPr="00635405">
              <w:rPr>
                <w:sz w:val="20"/>
              </w:rPr>
              <w:t>2,734</w:t>
            </w:r>
          </w:p>
        </w:tc>
        <w:tc>
          <w:tcPr>
            <w:tcW w:w="850" w:type="dxa"/>
            <w:shd w:val="clear" w:color="auto" w:fill="auto"/>
          </w:tcPr>
          <w:p w:rsidR="00BE6122" w:rsidRPr="00635405" w:rsidRDefault="00BE6122" w:rsidP="000E30F2">
            <w:pPr>
              <w:spacing w:before="0" w:after="0" w:line="240" w:lineRule="auto"/>
              <w:ind w:firstLine="0"/>
              <w:jc w:val="right"/>
              <w:rPr>
                <w:sz w:val="20"/>
              </w:rPr>
            </w:pPr>
            <w:r w:rsidRPr="00635405">
              <w:rPr>
                <w:sz w:val="20"/>
              </w:rPr>
              <w:t>5,942</w:t>
            </w:r>
          </w:p>
        </w:tc>
        <w:tc>
          <w:tcPr>
            <w:tcW w:w="851" w:type="dxa"/>
            <w:shd w:val="clear" w:color="auto" w:fill="auto"/>
          </w:tcPr>
          <w:p w:rsidR="00BE6122" w:rsidRPr="00635405" w:rsidRDefault="00BE6122" w:rsidP="000E30F2">
            <w:pPr>
              <w:spacing w:before="0" w:after="0" w:line="240" w:lineRule="auto"/>
              <w:ind w:firstLine="0"/>
              <w:jc w:val="right"/>
              <w:rPr>
                <w:sz w:val="20"/>
              </w:rPr>
            </w:pPr>
            <w:r w:rsidRPr="00635405">
              <w:rPr>
                <w:sz w:val="20"/>
              </w:rPr>
              <w:t>6,519</w:t>
            </w:r>
          </w:p>
        </w:tc>
        <w:tc>
          <w:tcPr>
            <w:tcW w:w="850" w:type="dxa"/>
            <w:shd w:val="clear" w:color="auto" w:fill="auto"/>
          </w:tcPr>
          <w:p w:rsidR="00BE6122" w:rsidRPr="00635405" w:rsidRDefault="00BE6122" w:rsidP="000E30F2">
            <w:pPr>
              <w:spacing w:before="0" w:after="0" w:line="240" w:lineRule="auto"/>
              <w:ind w:firstLine="0"/>
              <w:jc w:val="right"/>
              <w:rPr>
                <w:sz w:val="20"/>
              </w:rPr>
            </w:pPr>
            <w:r w:rsidRPr="00635405">
              <w:rPr>
                <w:sz w:val="20"/>
              </w:rPr>
              <w:t>6,910</w:t>
            </w:r>
          </w:p>
        </w:tc>
        <w:tc>
          <w:tcPr>
            <w:tcW w:w="851" w:type="dxa"/>
            <w:shd w:val="clear" w:color="auto" w:fill="auto"/>
          </w:tcPr>
          <w:p w:rsidR="00BE6122" w:rsidRPr="00635405" w:rsidRDefault="00BE6122" w:rsidP="000E30F2">
            <w:pPr>
              <w:spacing w:before="0" w:after="0" w:line="240" w:lineRule="auto"/>
              <w:ind w:firstLine="0"/>
              <w:jc w:val="right"/>
              <w:rPr>
                <w:sz w:val="20"/>
              </w:rPr>
            </w:pPr>
            <w:r w:rsidRPr="00635405">
              <w:rPr>
                <w:sz w:val="20"/>
              </w:rPr>
              <w:t>5,858</w:t>
            </w:r>
          </w:p>
        </w:tc>
        <w:tc>
          <w:tcPr>
            <w:tcW w:w="850" w:type="dxa"/>
            <w:shd w:val="clear" w:color="auto" w:fill="auto"/>
          </w:tcPr>
          <w:p w:rsidR="00BE6122" w:rsidRPr="00635405" w:rsidRDefault="00BE6122" w:rsidP="000E30F2">
            <w:pPr>
              <w:spacing w:before="0" w:after="0" w:line="240" w:lineRule="auto"/>
              <w:ind w:firstLine="0"/>
              <w:jc w:val="right"/>
              <w:rPr>
                <w:sz w:val="20"/>
              </w:rPr>
            </w:pPr>
            <w:r w:rsidRPr="00635405">
              <w:rPr>
                <w:sz w:val="20"/>
              </w:rPr>
              <w:t>5,846</w:t>
            </w:r>
          </w:p>
        </w:tc>
      </w:tr>
      <w:tr w:rsidR="00BE6122" w:rsidRPr="00635405" w:rsidTr="006D1ADE">
        <w:tc>
          <w:tcPr>
            <w:tcW w:w="2943" w:type="dxa"/>
            <w:gridSpan w:val="2"/>
            <w:tcBorders>
              <w:top w:val="single" w:sz="6" w:space="0" w:color="008000"/>
            </w:tcBorders>
            <w:shd w:val="clear" w:color="auto" w:fill="auto"/>
          </w:tcPr>
          <w:p w:rsidR="00BE6122" w:rsidRPr="00635405" w:rsidRDefault="00BE6122" w:rsidP="000E30F2">
            <w:pPr>
              <w:spacing w:before="0" w:after="0" w:line="240" w:lineRule="auto"/>
              <w:ind w:firstLine="0"/>
              <w:jc w:val="center"/>
              <w:rPr>
                <w:sz w:val="20"/>
              </w:rPr>
            </w:pPr>
            <w:r w:rsidRPr="00635405">
              <w:rPr>
                <w:sz w:val="20"/>
              </w:rPr>
              <w:t>Total</w:t>
            </w:r>
          </w:p>
        </w:tc>
        <w:tc>
          <w:tcPr>
            <w:tcW w:w="993"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101,028</w:t>
            </w:r>
          </w:p>
        </w:tc>
        <w:tc>
          <w:tcPr>
            <w:tcW w:w="850"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53,215</w:t>
            </w:r>
          </w:p>
        </w:tc>
        <w:tc>
          <w:tcPr>
            <w:tcW w:w="851"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8,783</w:t>
            </w:r>
          </w:p>
        </w:tc>
        <w:tc>
          <w:tcPr>
            <w:tcW w:w="850"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18,457</w:t>
            </w:r>
          </w:p>
        </w:tc>
        <w:tc>
          <w:tcPr>
            <w:tcW w:w="851"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19,608</w:t>
            </w:r>
          </w:p>
        </w:tc>
        <w:tc>
          <w:tcPr>
            <w:tcW w:w="850"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20,312</w:t>
            </w:r>
          </w:p>
        </w:tc>
        <w:tc>
          <w:tcPr>
            <w:tcW w:w="851"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16,933</w:t>
            </w:r>
          </w:p>
        </w:tc>
        <w:tc>
          <w:tcPr>
            <w:tcW w:w="850" w:type="dxa"/>
            <w:tcBorders>
              <w:top w:val="single" w:sz="6" w:space="0" w:color="008000"/>
            </w:tcBorders>
            <w:shd w:val="clear" w:color="auto" w:fill="auto"/>
          </w:tcPr>
          <w:p w:rsidR="00BE6122" w:rsidRPr="00635405" w:rsidRDefault="00BE6122" w:rsidP="000E30F2">
            <w:pPr>
              <w:spacing w:before="0" w:after="0" w:line="240" w:lineRule="auto"/>
              <w:ind w:firstLine="0"/>
              <w:jc w:val="right"/>
              <w:rPr>
                <w:sz w:val="20"/>
              </w:rPr>
            </w:pPr>
            <w:r w:rsidRPr="00635405">
              <w:rPr>
                <w:sz w:val="20"/>
              </w:rPr>
              <w:t>16,935</w:t>
            </w:r>
          </w:p>
        </w:tc>
      </w:tr>
    </w:tbl>
    <w:p w:rsidR="00BE6122" w:rsidRDefault="00BE6122" w:rsidP="00BE6122">
      <w:pPr>
        <w:ind w:firstLine="0"/>
      </w:pPr>
    </w:p>
    <w:p w:rsidR="00BE6122" w:rsidRDefault="00BE6122" w:rsidP="00BE6122">
      <w:pPr>
        <w:ind w:firstLine="0"/>
      </w:pPr>
      <w:r>
        <w:lastRenderedPageBreak/>
        <w:t xml:space="preserve">Para realizar esta acción es necesario contar con los planes maestros de cada organismo operador. </w:t>
      </w:r>
    </w:p>
    <w:p w:rsidR="00BE6122" w:rsidRDefault="00BE6122" w:rsidP="00BE6122">
      <w:r w:rsidRPr="006D1ADE">
        <w:rPr>
          <w:i/>
        </w:rPr>
        <w:t>Línea de acción 4.8.3.</w:t>
      </w:r>
      <w:r w:rsidRPr="006D1ADE">
        <w:t xml:space="preserve"> Diseño ejecutivo de instalaciones de monitoreo hidroclimatológico en</w:t>
      </w:r>
      <w:r>
        <w:t xml:space="preserve"> sitios estratégicos de la cuenca Libres – Oriental – Perote  </w:t>
      </w:r>
    </w:p>
    <w:p w:rsidR="00BE6122" w:rsidRDefault="00BE6122" w:rsidP="00BE6122">
      <w:r>
        <w:t>La información de carácter hidrológico es también de suma importancia para la comprensión de las particularidades del comportamiento del agua en cada uno de los acuíferos.  Es necesario contar con:</w:t>
      </w:r>
    </w:p>
    <w:p w:rsidR="00BE6122" w:rsidRDefault="00BE6122" w:rsidP="00BE6122">
      <w:pPr>
        <w:numPr>
          <w:ilvl w:val="0"/>
          <w:numId w:val="91"/>
        </w:numPr>
      </w:pPr>
      <w:r>
        <w:t xml:space="preserve">Estaciones climatológicas en operación continua y automatizadas, </w:t>
      </w:r>
    </w:p>
    <w:p w:rsidR="00BE6122" w:rsidRDefault="00BE6122" w:rsidP="00BE6122">
      <w:pPr>
        <w:numPr>
          <w:ilvl w:val="0"/>
          <w:numId w:val="91"/>
        </w:numPr>
      </w:pPr>
      <w:proofErr w:type="spellStart"/>
      <w:r>
        <w:t>Pluviógrafos</w:t>
      </w:r>
      <w:proofErr w:type="spellEnd"/>
      <w:r>
        <w:t xml:space="preserve"> y</w:t>
      </w:r>
    </w:p>
    <w:p w:rsidR="00BE6122" w:rsidRDefault="00BE6122" w:rsidP="00BE6122">
      <w:pPr>
        <w:numPr>
          <w:ilvl w:val="0"/>
          <w:numId w:val="91"/>
        </w:numPr>
      </w:pPr>
      <w:r>
        <w:t>Piezómetros, incluyendo también las zonas lagunares</w:t>
      </w:r>
    </w:p>
    <w:p w:rsidR="00BE6122" w:rsidRDefault="00BE6122" w:rsidP="00BE6122">
      <w:r>
        <w:t>A través de esta información será posible realizar análisis más confiables y detallados.</w:t>
      </w:r>
    </w:p>
    <w:p w:rsidR="00BE6122" w:rsidRDefault="00BE6122" w:rsidP="00BE6122">
      <w:r>
        <w:t xml:space="preserve">Para llevar a cabo esta acción, será necesario previamente contar con un diagnóstico de la red </w:t>
      </w:r>
      <w:proofErr w:type="spellStart"/>
      <w:r>
        <w:t>hidroclimatológica</w:t>
      </w:r>
      <w:proofErr w:type="spellEnd"/>
      <w:r>
        <w:t>, con una propuesta de ubicación de las nuevas estaciones.</w:t>
      </w:r>
    </w:p>
    <w:p w:rsidR="00BE6122" w:rsidRPr="006D1ADE" w:rsidRDefault="00BE6122" w:rsidP="00BE6122">
      <w:r w:rsidRPr="006D1ADE">
        <w:rPr>
          <w:i/>
        </w:rPr>
        <w:t>Línea de acción 4.8.4.</w:t>
      </w:r>
      <w:r w:rsidRPr="006D1ADE">
        <w:t xml:space="preserve"> Hidrometría en las captaciones</w:t>
      </w:r>
    </w:p>
    <w:p w:rsidR="00BE6122" w:rsidRDefault="00BE6122" w:rsidP="00BE6122">
      <w:r>
        <w:t>Tal como se describe en el objetivo 1, es necesario contar con dispositivos de medición de gasto en cada uno de los aprovechamientos, principalmente en los que presentan un mayor gasto, con el objetivo de comprender posteriormente el total de las captaciones. Los registros hidrométricos de las captaciones y su acumulación de datos a través del tiempo, serán de gran utilidad para un diagnóstico más preciso y puntual del comportamiento del acuífero y sus interacciones con el flujo superficial.</w:t>
      </w:r>
    </w:p>
    <w:p w:rsidR="00BE6122" w:rsidRPr="006D1ADE" w:rsidRDefault="00BE6122" w:rsidP="00BE6122">
      <w:r w:rsidRPr="006D1ADE">
        <w:rPr>
          <w:i/>
        </w:rPr>
        <w:t>Línea de acción 4.8.5.</w:t>
      </w:r>
      <w:r w:rsidRPr="006D1ADE">
        <w:t xml:space="preserve"> Inventario oficial de descargas</w:t>
      </w:r>
    </w:p>
    <w:p w:rsidR="00BE6122" w:rsidRDefault="00BE6122" w:rsidP="00BE6122">
      <w:r>
        <w:t>Es necesario conocer con precisión y actualidad la ubicación de las descargas de agua residual, así como los volúmenes descargados, la calidad del agua y su área de influencia.  Para ello, se requiere de que así como se realice el censo de aprovechamientos, se integre el censo de descargas.</w:t>
      </w:r>
    </w:p>
    <w:p w:rsidR="00BE6122" w:rsidRDefault="00BE6122" w:rsidP="00BE6122">
      <w:r>
        <w:t>En el caso de usos agrícolas, son de importancia los volúmenes de riego que retornan al acuífero y toman una mayor importancia para la calidad del agua en la medida que pueden agregar contaminantes como son pesticidas y fertilizantes.</w:t>
      </w:r>
    </w:p>
    <w:p w:rsidR="00BE6122" w:rsidRDefault="00BE6122" w:rsidP="00BE6122">
      <w:r w:rsidRPr="006D1ADE">
        <w:rPr>
          <w:i/>
        </w:rPr>
        <w:t>Línea de acción 4.8.6.</w:t>
      </w:r>
      <w:r w:rsidRPr="006D1ADE">
        <w:t xml:space="preserve"> Medición y monitoreo de indicadores de desarrollo sustentable hacia el</w:t>
      </w:r>
      <w:r>
        <w:t xml:space="preserve"> interior de la cuenca Libres - Oriental</w:t>
      </w:r>
    </w:p>
    <w:p w:rsidR="00BE6122" w:rsidRDefault="00BE6122" w:rsidP="00BE6122">
      <w:r>
        <w:t xml:space="preserve">El seguimiento del cumplimiento de las metas definidas en el plan de manejo del acuífero depende de una instrumentación suficiente para medir de manera precisa y representativa el estado que guarda cada uno de los indicadores.  Sólo en la medida que se cuente con información de calidad, será posible evaluar con realismo la evolución de cada indicador.  Asimismo, es </w:t>
      </w:r>
      <w:r>
        <w:lastRenderedPageBreak/>
        <w:t>necesario definir criterios para llevar a cabo las acciones necesarias para compensar aquellos retrasos que se presenten</w:t>
      </w:r>
      <w:r w:rsidRPr="000D525B">
        <w:t xml:space="preserve">.  </w:t>
      </w:r>
    </w:p>
    <w:p w:rsidR="00BE6122" w:rsidRPr="006D1ADE" w:rsidRDefault="00BE6122" w:rsidP="00BE6122">
      <w:r w:rsidRPr="006D1ADE">
        <w:rPr>
          <w:i/>
        </w:rPr>
        <w:t>Línea de acción 4.8.7.</w:t>
      </w:r>
      <w:r w:rsidRPr="006D1ADE">
        <w:t xml:space="preserve"> Fortalecimiento y actualización del REPDA </w:t>
      </w:r>
    </w:p>
    <w:p w:rsidR="00BE6122" w:rsidRDefault="00BE6122" w:rsidP="00BE6122">
      <w:r>
        <w:t xml:space="preserve">Es necesario que el Registro Público de Derechos de Agua, refleje cada vez más la situación del volumen aprovechado en los acuíferos.  Tal como se describe en diversos apartados del Plan de Manejo, el REPDA en la actualidad subestima la magnitud del aprovechamiento real de agua subterránea de los acuíferos de Libres – Oriental y Huamantla, mientras en Perote ocurre aparentemente una sobrevaloración.  En la medida que se aplique la LAN para reducir la existencia de aprovechamientos que carecen del amparo de un título de concesión para extraer agua, la magnitud de las extracciones se verá reducida; no obstante, como se describe también en apartados anteriores, es recomendable que este proceso ocurra como parte de un programa de estabilización donde se cuente con un tiempo </w:t>
      </w:r>
      <w:r w:rsidRPr="0006106D">
        <w:t>de corto plazo, pero que brinde a los usuarios una de apegarse a los distintos programas de estabilización del acuífero, de manera que la reducción de la extracción sea parte de un programa de mejoramiento productivo con claros beneficios económicos.</w:t>
      </w:r>
    </w:p>
    <w:p w:rsidR="00BE6122" w:rsidRDefault="00BE6122" w:rsidP="00BE6122">
      <w:r w:rsidRPr="006D1ADE">
        <w:rPr>
          <w:i/>
        </w:rPr>
        <w:t>Línea de acción 4.8.8.</w:t>
      </w:r>
      <w:r w:rsidRPr="006D1ADE">
        <w:t xml:space="preserve"> Monitoreo periódico de la calidad del agua y modernización de los</w:t>
      </w:r>
      <w:r w:rsidRPr="0006106D">
        <w:t xml:space="preserve"> lineamientos para mejorar la calidad del agua</w:t>
      </w:r>
    </w:p>
    <w:p w:rsidR="00BE6122" w:rsidRDefault="00BE6122" w:rsidP="00BE6122">
      <w:r>
        <w:t>El monitoreo de la calidad del agua, tanto superficial, pero principalmente subterránea en el caso de estos tres acuíferos, constituye una tarea indispensable al encontrarse el acuífero expuesto a fuentes potenciales y activas de contaminación y más aún por tratarse de un acuífero con alta vulnerabilidad.  Sólo la existencia de información histórica espacialmente bien distribuida y cronológicamente registrada en períodos que permitan representar el comportamiento de la calidad del agua y sus variaciones, permitirá dimensionar aquellas medidas que resulten necesarias para proteger o mejorar la calidad del agua donde resulte necesario.</w:t>
      </w:r>
    </w:p>
    <w:p w:rsidR="00BE6122" w:rsidRDefault="00BE6122" w:rsidP="00BE6122">
      <w:r>
        <w:t>La Ley de Aguas Nacionales y las Normas Oficiales Mexicanas, establecen criterios donde se señala la importancia de la conservación de la calidad del agua, así como los rangos permisibles de contaminación de las descargas para su apego al cumplimiento de la Ley.  Sin embargo, dichos estándares fueron definidos para todo el país; sin embargo, para las condiciones particulares de estos acuíferos, es necesario tomar medidas de seguridad para proteger la calidad del agua en cada zona.  Estos lineamientos deben establecerse con base en la vulnerabilidad intrínseca del acuífero y la peligrosidad de las diferentes actividades por zona.</w:t>
      </w:r>
    </w:p>
    <w:p w:rsidR="00BE6122" w:rsidRDefault="00BE6122" w:rsidP="00BE6122">
      <w:r w:rsidRPr="006D1ADE">
        <w:rPr>
          <w:i/>
        </w:rPr>
        <w:t>Línea de acción 4.8.9.</w:t>
      </w:r>
      <w:r w:rsidRPr="006D1ADE">
        <w:t xml:space="preserve"> Seguimiento de la variación del uso de suelo y crecimiento de zonas</w:t>
      </w:r>
      <w:r>
        <w:t xml:space="preserve"> habitadas</w:t>
      </w:r>
    </w:p>
    <w:p w:rsidR="00BE6122" w:rsidRDefault="00BE6122" w:rsidP="00BE6122">
      <w:r>
        <w:t>Para promover un desarrollo donde mejoren las condiciones ambientales, es necesario respetar algunas normas de ordenamiento territorial, que veden por la protección de puntos frágiles del acuífero, de sus sistemas de recarga y de cada una de sus zonas de acuerdo con su cantidad y calidad de recurso hidráulico.</w:t>
      </w:r>
    </w:p>
    <w:p w:rsidR="00BE6122" w:rsidRPr="000D37EA" w:rsidRDefault="00BE6122" w:rsidP="00BE6122">
      <w:r w:rsidRPr="00EE3567">
        <w:rPr>
          <w:b/>
        </w:rPr>
        <w:lastRenderedPageBreak/>
        <w:t>Línea Estratégica 5. 1.</w:t>
      </w:r>
      <w:r w:rsidRPr="000D37EA">
        <w:t xml:space="preserve"> Consolidación administrativa, técnica y financiera del COTAS</w:t>
      </w:r>
    </w:p>
    <w:p w:rsidR="00BE6122" w:rsidRDefault="00BE6122" w:rsidP="00BE6122">
      <w:r w:rsidRPr="000D37EA">
        <w:t>Para establecer una comunicación continua con usuarios de los sistemas, sobre los datos relacionados con su toma domiciliara se debe implantar medidas para el cobro ágil y seguro de cuentas por pagar, resolver con profesionalismo, respecto y cordialidad los problemas relacionados con el cobro, y hacer más efectiva la facturación y cobranza.</w:t>
      </w:r>
    </w:p>
    <w:p w:rsidR="00BE6122" w:rsidRPr="000D37EA" w:rsidRDefault="00BE6122" w:rsidP="00BE6122">
      <w:r w:rsidRPr="006D1ADE">
        <w:rPr>
          <w:i/>
        </w:rPr>
        <w:t>Línea de acción 5.1.1.</w:t>
      </w:r>
      <w:r w:rsidRPr="006D1ADE">
        <w:t xml:space="preserve"> Colaboración con centros de investigación, instituciones educativas y</w:t>
      </w:r>
      <w:r w:rsidRPr="000D37EA">
        <w:t xml:space="preserve"> otros </w:t>
      </w:r>
    </w:p>
    <w:p w:rsidR="00BE6122" w:rsidRPr="000D37EA" w:rsidRDefault="00BE6122" w:rsidP="000E30F2">
      <w:pPr>
        <w:pStyle w:val="Prrafodelista"/>
        <w:numPr>
          <w:ilvl w:val="0"/>
          <w:numId w:val="117"/>
        </w:numPr>
        <w:contextualSpacing/>
      </w:pPr>
      <w:r w:rsidRPr="000D37EA">
        <w:t>Formación de recursos humanos, Integración de materiales y técnicos para el COTAS</w:t>
      </w:r>
    </w:p>
    <w:p w:rsidR="00BE6122" w:rsidRPr="000D37EA" w:rsidRDefault="00BE6122" w:rsidP="000E30F2">
      <w:pPr>
        <w:pStyle w:val="Prrafodelista"/>
        <w:numPr>
          <w:ilvl w:val="0"/>
          <w:numId w:val="126"/>
        </w:numPr>
        <w:contextualSpacing/>
      </w:pPr>
      <w:r w:rsidRPr="000D37EA">
        <w:t>Capacitación a los trabajadores que tienen contacto con los clientes.</w:t>
      </w:r>
    </w:p>
    <w:p w:rsidR="00BE6122" w:rsidRPr="000D37EA" w:rsidRDefault="00BE6122" w:rsidP="000E30F2">
      <w:pPr>
        <w:pStyle w:val="Prrafodelista"/>
        <w:numPr>
          <w:ilvl w:val="0"/>
          <w:numId w:val="126"/>
        </w:numPr>
        <w:contextualSpacing/>
      </w:pPr>
      <w:r w:rsidRPr="000D37EA">
        <w:t>Disponer de sistemas que permitan el control racional de</w:t>
      </w:r>
      <w:r>
        <w:t xml:space="preserve">l </w:t>
      </w:r>
      <w:r w:rsidRPr="000D37EA">
        <w:t>servicio</w:t>
      </w:r>
      <w:r>
        <w:t xml:space="preserve"> y administración de </w:t>
      </w:r>
      <w:r w:rsidRPr="000D37EA">
        <w:t xml:space="preserve">usuarios </w:t>
      </w:r>
      <w:r>
        <w:t xml:space="preserve">mediante </w:t>
      </w:r>
      <w:proofErr w:type="spellStart"/>
      <w:r w:rsidRPr="000D37EA">
        <w:t>micromedición</w:t>
      </w:r>
      <w:proofErr w:type="spellEnd"/>
      <w:r w:rsidRPr="000D37EA">
        <w:t xml:space="preserve"> y estadísticas adecuadas.</w:t>
      </w:r>
    </w:p>
    <w:p w:rsidR="00BE6122" w:rsidRPr="000D37EA" w:rsidRDefault="00BE6122" w:rsidP="000E30F2">
      <w:pPr>
        <w:pStyle w:val="Prrafodelista"/>
        <w:numPr>
          <w:ilvl w:val="0"/>
          <w:numId w:val="117"/>
        </w:numPr>
        <w:contextualSpacing/>
      </w:pPr>
      <w:r w:rsidRPr="000D37EA">
        <w:t>Celebrar convenios de capacitación, investigación y transferencia de tecnología</w:t>
      </w:r>
    </w:p>
    <w:p w:rsidR="00BE6122" w:rsidRDefault="00BE6122" w:rsidP="000E30F2">
      <w:pPr>
        <w:pStyle w:val="Prrafodelista"/>
        <w:numPr>
          <w:ilvl w:val="0"/>
          <w:numId w:val="126"/>
        </w:numPr>
        <w:contextualSpacing/>
      </w:pPr>
      <w:r w:rsidRPr="000D37EA">
        <w:t xml:space="preserve">Se deberá de consultar los programas existentes de capacitación impartidos por centros de enseñanza, institutos, empresas, </w:t>
      </w:r>
      <w:proofErr w:type="gramStart"/>
      <w:r w:rsidRPr="000D37EA">
        <w:t>etc..</w:t>
      </w:r>
      <w:proofErr w:type="gramEnd"/>
      <w:r w:rsidRPr="000D37EA">
        <w:t xml:space="preserve"> y se </w:t>
      </w:r>
    </w:p>
    <w:p w:rsidR="00BE6122" w:rsidRPr="006D1ADE" w:rsidRDefault="00BE6122" w:rsidP="00BE6122">
      <w:r w:rsidRPr="006D1ADE">
        <w:rPr>
          <w:i/>
        </w:rPr>
        <w:t>Línea de acción 5.1.2.</w:t>
      </w:r>
      <w:r w:rsidRPr="006D1ADE">
        <w:t xml:space="preserve"> Consolidación administrativa  del COTAS</w:t>
      </w:r>
    </w:p>
    <w:p w:rsidR="00BE6122" w:rsidRPr="000D37EA" w:rsidRDefault="00BE6122" w:rsidP="000E30F2">
      <w:pPr>
        <w:pStyle w:val="Prrafodelista"/>
        <w:numPr>
          <w:ilvl w:val="0"/>
          <w:numId w:val="118"/>
        </w:numPr>
        <w:contextualSpacing/>
      </w:pPr>
      <w:r>
        <w:t xml:space="preserve">Diseño e </w:t>
      </w:r>
      <w:r w:rsidRPr="000D37EA">
        <w:t>Implantación de un Sistema de Gestión de Calidad en el COTAS</w:t>
      </w:r>
    </w:p>
    <w:p w:rsidR="00BE6122" w:rsidRPr="000D37EA" w:rsidRDefault="00BE6122" w:rsidP="00BE6122">
      <w:pPr>
        <w:pStyle w:val="Prrafodelista"/>
        <w:ind w:left="1004" w:firstLine="0"/>
      </w:pPr>
      <w:r w:rsidRPr="000D37EA">
        <w:t>Para establecer una comunicación continua con usuarios de los sistemas, sobre los datos relacionados con su toma domiciliara se debe implantar medidas para el cobro ágil y seguro de cuentas por pagar, resolver con profesionalismo, respecto y cordialidad los problemas relacionados con el cobro, y hacer más efectiva la facturación y cobranza.</w:t>
      </w:r>
    </w:p>
    <w:p w:rsidR="00BE6122" w:rsidRPr="000D37EA" w:rsidRDefault="00BE6122" w:rsidP="000E30F2">
      <w:pPr>
        <w:pStyle w:val="Prrafodelista"/>
        <w:numPr>
          <w:ilvl w:val="0"/>
          <w:numId w:val="118"/>
        </w:numPr>
        <w:contextualSpacing/>
      </w:pPr>
      <w:r>
        <w:t>S</w:t>
      </w:r>
      <w:r w:rsidRPr="000D37EA">
        <w:t>upervisión</w:t>
      </w:r>
      <w:r>
        <w:t xml:space="preserve"> </w:t>
      </w:r>
      <w:r w:rsidRPr="000D37EA">
        <w:t xml:space="preserve"> y seguimiento al Plan Anual de Acción del COTAS HLOP</w:t>
      </w:r>
    </w:p>
    <w:p w:rsidR="00BE6122" w:rsidRDefault="00BE6122" w:rsidP="00BE6122">
      <w:r w:rsidRPr="00EE3567">
        <w:rPr>
          <w:b/>
        </w:rPr>
        <w:t>Línea Estratégica 5. 2</w:t>
      </w:r>
      <w:r w:rsidRPr="00C90602">
        <w:t>. Comunicación y difusión.</w:t>
      </w:r>
    </w:p>
    <w:p w:rsidR="00BE6122" w:rsidRDefault="00BE6122" w:rsidP="00BE6122">
      <w:r>
        <w:t xml:space="preserve">Se trata de generar un cambio de hábito y comportamiento a través de la información, comunicación y educación, lograr desarrollar conciencia en la población acerca de la importancia de contar con servicios de agua y saneamiento eficientes y sostenibles para su salud y bienestar. </w:t>
      </w:r>
    </w:p>
    <w:p w:rsidR="00BE6122" w:rsidRPr="006D1ADE" w:rsidRDefault="00BE6122" w:rsidP="00BE6122">
      <w:r w:rsidRPr="006D1ADE">
        <w:rPr>
          <w:i/>
        </w:rPr>
        <w:t>Línea de acción 5.2.1.</w:t>
      </w:r>
      <w:r w:rsidRPr="006D1ADE">
        <w:t xml:space="preserve"> Creación del programa de ahorro y cultura del agua </w:t>
      </w:r>
    </w:p>
    <w:p w:rsidR="00BE6122" w:rsidRDefault="00BE6122" w:rsidP="00BE6122">
      <w:pPr>
        <w:ind w:firstLine="0"/>
      </w:pPr>
      <w:r>
        <w:t xml:space="preserve">El objetivo principal del Programa de cultura del agua es reducir el consumo de agua sin realizar modificaciones técnicas en los equipos y dispositivos de consumo. Son programas basados en campañas de comunicación para incentivar el ahorro voluntario y en modificación de tarifas para disuadir a los usuarios de actitudes despilfarradoras, para lo cual se obtendrá desarrollado las siguientes actividades: </w:t>
      </w:r>
    </w:p>
    <w:p w:rsidR="00BE6122" w:rsidRPr="00375B6D" w:rsidRDefault="00BE6122" w:rsidP="000E30F2">
      <w:pPr>
        <w:pStyle w:val="Prrafodelista"/>
        <w:numPr>
          <w:ilvl w:val="0"/>
          <w:numId w:val="119"/>
        </w:numPr>
        <w:contextualSpacing/>
      </w:pPr>
      <w:r w:rsidRPr="00711109">
        <w:rPr>
          <w:b/>
        </w:rPr>
        <w:t>Difusión del uso eficiente del agua en medios de comunicación.</w:t>
      </w:r>
      <w:r w:rsidRPr="00375B6D">
        <w:t xml:space="preserve"> La campaña de comunicación tiene como finalidad informar a los usuarios no especializados las técnicas y propuestas planteadas por el presente Plan de Manejo, la campaña masiva deberá de incluir la etapa de difusión del Plan de Manejo así como el del seguimiento y presentación de resultados. Las fases para implementarla abarcan una fase de </w:t>
      </w:r>
      <w:r w:rsidRPr="00711109">
        <w:rPr>
          <w:b/>
        </w:rPr>
        <w:lastRenderedPageBreak/>
        <w:t>preparación</w:t>
      </w:r>
      <w:r w:rsidRPr="00375B6D">
        <w:t xml:space="preserve"> (redacción y edición de materiales publicitarios, pinta de vallas, carteles, viñetas radiofónicas), </w:t>
      </w:r>
      <w:r w:rsidRPr="00711109">
        <w:rPr>
          <w:b/>
        </w:rPr>
        <w:t>ejecución</w:t>
      </w:r>
      <w:r w:rsidRPr="00375B6D">
        <w:t xml:space="preserve"> (presentación del plan de manejo y difusión, material publicitario tales como kit de productos ahorradores de agua en el hogar, casos de éxito)</w:t>
      </w:r>
      <w:r>
        <w:t>.</w:t>
      </w:r>
      <w:r w:rsidRPr="00375B6D">
        <w:t xml:space="preserve"> </w:t>
      </w:r>
      <w:r>
        <w:t>Finalmente, p</w:t>
      </w:r>
      <w:r w:rsidRPr="009D2378">
        <w:t xml:space="preserve">ara que el usuario </w:t>
      </w:r>
      <w:proofErr w:type="gramStart"/>
      <w:r w:rsidRPr="009D2378">
        <w:t>de</w:t>
      </w:r>
      <w:r>
        <w:t xml:space="preserve"> el</w:t>
      </w:r>
      <w:proofErr w:type="gramEnd"/>
      <w:r>
        <w:t xml:space="preserve"> paso hacia la sustitución de dispositivos ineficientes se debe dar a conocer por medio de catálogos los productos disponibles en el mercado, listado de establecimientos que los comercializan, así como sus costos.</w:t>
      </w:r>
    </w:p>
    <w:p w:rsidR="00BE6122" w:rsidRDefault="00BE6122" w:rsidP="000E30F2">
      <w:pPr>
        <w:pStyle w:val="Prrafodelista"/>
        <w:numPr>
          <w:ilvl w:val="0"/>
          <w:numId w:val="119"/>
        </w:numPr>
        <w:contextualSpacing/>
      </w:pPr>
      <w:r w:rsidRPr="00C9307E">
        <w:rPr>
          <w:b/>
        </w:rPr>
        <w:t xml:space="preserve">Crear espacios municipales para la Cultura del Agua. </w:t>
      </w:r>
      <w:r w:rsidRPr="00375B6D">
        <w:t>Estos espacios tendrán diversas actividades tales como demostraciones directas a los usuarios no especializados de las posibilidades de ahorro</w:t>
      </w:r>
      <w:r>
        <w:t xml:space="preserve"> (por ejemplo la creación de un jardín con césped de bajo consumo de agua, sanitarios y regaderas con dispositivos ahorradores que descarguen a cajas transparentes donde se pueda cuantificar el volumen de agua utilizado, etc..)</w:t>
      </w:r>
      <w:r w:rsidRPr="00375B6D">
        <w:t xml:space="preserve">, información dirigida a diversos tipos </w:t>
      </w:r>
      <w:r>
        <w:t xml:space="preserve">de usuarios, </w:t>
      </w:r>
    </w:p>
    <w:p w:rsidR="00BE6122" w:rsidRPr="00375B6D" w:rsidRDefault="00BE6122" w:rsidP="000E30F2">
      <w:pPr>
        <w:pStyle w:val="Prrafodelista"/>
        <w:numPr>
          <w:ilvl w:val="0"/>
          <w:numId w:val="119"/>
        </w:numPr>
        <w:contextualSpacing/>
      </w:pPr>
      <w:r w:rsidRPr="00711109">
        <w:rPr>
          <w:b/>
        </w:rPr>
        <w:t xml:space="preserve">Educación escolar y </w:t>
      </w:r>
      <w:proofErr w:type="spellStart"/>
      <w:r w:rsidRPr="00711109">
        <w:rPr>
          <w:b/>
        </w:rPr>
        <w:t>ecoauditorias</w:t>
      </w:r>
      <w:proofErr w:type="spellEnd"/>
      <w:r w:rsidRPr="00711109">
        <w:rPr>
          <w:b/>
        </w:rPr>
        <w:t xml:space="preserve"> en centros educativos</w:t>
      </w:r>
      <w:r>
        <w:t xml:space="preserve">. Creación de materiales audiovisuales así como la coordinación de debates de divulgación, </w:t>
      </w:r>
    </w:p>
    <w:p w:rsidR="00BE6122" w:rsidRDefault="00BE6122" w:rsidP="00BE6122">
      <w:pPr>
        <w:pStyle w:val="Prrafodelista"/>
        <w:ind w:left="0" w:firstLine="0"/>
      </w:pPr>
      <w:r>
        <w:t>Es importante recordar que es necesario segmentar el mercado para llegar con mayor eficiencia y penetración a los diversos nichos de consumidores, como niños, estudiantes de todos los niveles, trabajadores, amas de casa, ejecutivos, asociaciones y oficinas de gobierno, usuarios agrícolas, etc.</w:t>
      </w:r>
    </w:p>
    <w:p w:rsidR="00BE6122" w:rsidRPr="006D1ADE" w:rsidRDefault="00BE6122" w:rsidP="00BE6122">
      <w:r w:rsidRPr="006D1ADE">
        <w:rPr>
          <w:i/>
        </w:rPr>
        <w:t>Línea de acción 5.2.2.</w:t>
      </w:r>
      <w:r w:rsidRPr="006D1ADE">
        <w:t xml:space="preserve"> Eficiencia en el consumo </w:t>
      </w:r>
    </w:p>
    <w:p w:rsidR="00BE6122" w:rsidRPr="00C90602" w:rsidRDefault="00BE6122" w:rsidP="008011C2">
      <w:pPr>
        <w:pStyle w:val="Prrafodelista"/>
        <w:numPr>
          <w:ilvl w:val="0"/>
          <w:numId w:val="120"/>
        </w:numPr>
        <w:contextualSpacing/>
        <w:outlineLvl w:val="0"/>
      </w:pPr>
      <w:proofErr w:type="spellStart"/>
      <w:r w:rsidRPr="00C90602">
        <w:t>Reuso</w:t>
      </w:r>
      <w:proofErr w:type="spellEnd"/>
      <w:r w:rsidRPr="00C90602">
        <w:t xml:space="preserve"> y reducción de consumo</w:t>
      </w:r>
    </w:p>
    <w:p w:rsidR="00BE6122" w:rsidRDefault="00BE6122" w:rsidP="00BE6122">
      <w:r>
        <w:t>Hacer un uso eficiente del agua implica el uso de tecnologías y prácticas mejoradas que proporcionan igual o mejor servicio con menos agua, dichas prácticas se pueden clasificar de la siguiente manera:</w:t>
      </w:r>
    </w:p>
    <w:p w:rsidR="00BE6122" w:rsidRDefault="00BE6122" w:rsidP="000E30F2">
      <w:pPr>
        <w:pStyle w:val="Prrafodelista"/>
        <w:numPr>
          <w:ilvl w:val="0"/>
          <w:numId w:val="124"/>
        </w:numPr>
        <w:contextualSpacing/>
      </w:pPr>
      <w:r w:rsidRPr="007606DA">
        <w:rPr>
          <w:b/>
        </w:rPr>
        <w:t>Prácticas de ingeniería</w:t>
      </w:r>
      <w:r>
        <w:t xml:space="preserve">: Se refiere a modificación en tuberías, accesorios o procedimientos de uso del recurso y así </w:t>
      </w:r>
      <w:r w:rsidRPr="007606DA">
        <w:t>favorecer la introducción de tecnologías eficientes</w:t>
      </w:r>
      <w:r w:rsidRPr="007606DA">
        <w:rPr>
          <w:b/>
        </w:rPr>
        <w:t>.</w:t>
      </w:r>
      <w:r w:rsidRPr="009D2378">
        <w:t xml:space="preserve"> </w:t>
      </w:r>
    </w:p>
    <w:p w:rsidR="00BE6122" w:rsidRDefault="00BE6122" w:rsidP="000E30F2">
      <w:pPr>
        <w:pStyle w:val="Prrafodelista"/>
        <w:numPr>
          <w:ilvl w:val="2"/>
          <w:numId w:val="125"/>
        </w:numPr>
        <w:contextualSpacing/>
      </w:pPr>
      <w:r>
        <w:t xml:space="preserve">Programa de sustitución de los aparatos sanitarios, para ellos se deberá de crear un “kit ahorrador” (regadera eficiente, llame </w:t>
      </w:r>
      <w:proofErr w:type="gramStart"/>
      <w:r>
        <w:t>dispersora</w:t>
      </w:r>
      <w:proofErr w:type="gramEnd"/>
      <w:r>
        <w:t xml:space="preserve"> para </w:t>
      </w:r>
      <w:proofErr w:type="spellStart"/>
      <w:r>
        <w:t>lavatraste</w:t>
      </w:r>
      <w:proofErr w:type="spellEnd"/>
      <w:r>
        <w:t>, dispositivos de interrupción de descarga o doble descarga así como un tríptico sobre el uso eficiente del agua en casa).</w:t>
      </w:r>
    </w:p>
    <w:p w:rsidR="00BE6122" w:rsidRDefault="00BE6122" w:rsidP="000E30F2">
      <w:pPr>
        <w:pStyle w:val="Prrafodelista"/>
        <w:numPr>
          <w:ilvl w:val="4"/>
          <w:numId w:val="125"/>
        </w:numPr>
        <w:contextualSpacing/>
      </w:pPr>
      <w:r>
        <w:t>Cambio de tipo de sanitarios por aquellos ahorradores de agua, los excusados con descarga máxima de 6 litros por servicio deben de ser ya los utilizados en los domicilios</w:t>
      </w:r>
    </w:p>
    <w:p w:rsidR="00BE6122" w:rsidRDefault="00BE6122" w:rsidP="000E30F2">
      <w:pPr>
        <w:pStyle w:val="Prrafodelista"/>
        <w:numPr>
          <w:ilvl w:val="4"/>
          <w:numId w:val="125"/>
        </w:numPr>
        <w:contextualSpacing/>
      </w:pPr>
      <w:r>
        <w:t>Se debe de tener instaladas en lavamanos y fregaderos llaves economizadores con descargas no mayor a 10 litros por minuto.</w:t>
      </w:r>
    </w:p>
    <w:p w:rsidR="00BE6122" w:rsidRDefault="00BE6122" w:rsidP="000E30F2">
      <w:pPr>
        <w:pStyle w:val="Prrafodelista"/>
        <w:numPr>
          <w:ilvl w:val="2"/>
          <w:numId w:val="125"/>
        </w:numPr>
        <w:contextualSpacing/>
      </w:pPr>
      <w:r>
        <w:t>Reducción de pérdidas físicas. Mantener en buen estado las instalaciones hidráulicas en nuestra casa, medidas sencillas como arreglar empaques tienen gran efecto en el consumo de agua</w:t>
      </w:r>
    </w:p>
    <w:p w:rsidR="00BE6122" w:rsidRDefault="00BE6122" w:rsidP="000E30F2">
      <w:pPr>
        <w:pStyle w:val="Prrafodelista"/>
        <w:numPr>
          <w:ilvl w:val="2"/>
          <w:numId w:val="125"/>
        </w:numPr>
        <w:contextualSpacing/>
      </w:pPr>
      <w:proofErr w:type="spellStart"/>
      <w:r>
        <w:lastRenderedPageBreak/>
        <w:t>Reuso</w:t>
      </w:r>
      <w:proofErr w:type="spellEnd"/>
      <w:r>
        <w:t xml:space="preserve"> del agua. Utilizar agua de lavado para lavar patios</w:t>
      </w:r>
    </w:p>
    <w:p w:rsidR="00BE6122" w:rsidRDefault="00BE6122" w:rsidP="00BE6122">
      <w:pPr>
        <w:pStyle w:val="Prrafodelista"/>
        <w:ind w:left="2160" w:firstLine="0"/>
      </w:pPr>
    </w:p>
    <w:p w:rsidR="00BE6122" w:rsidRDefault="00BE6122" w:rsidP="000E30F2">
      <w:pPr>
        <w:pStyle w:val="Prrafodelista"/>
        <w:numPr>
          <w:ilvl w:val="0"/>
          <w:numId w:val="124"/>
        </w:numPr>
        <w:contextualSpacing/>
      </w:pPr>
      <w:r w:rsidRPr="007606DA">
        <w:rPr>
          <w:b/>
        </w:rPr>
        <w:t>Practicas de conducta.</w:t>
      </w:r>
      <w:r>
        <w:t xml:space="preserve"> Están basadas en el cambio de hábito en el uso del agua, los cambios de comportamiento pueden ahorrar agua sin modifica los equipos existentes. </w:t>
      </w:r>
    </w:p>
    <w:p w:rsidR="00BE6122" w:rsidRDefault="00BE6122" w:rsidP="000E30F2">
      <w:pPr>
        <w:pStyle w:val="Prrafodelista"/>
        <w:numPr>
          <w:ilvl w:val="0"/>
          <w:numId w:val="121"/>
        </w:numPr>
        <w:tabs>
          <w:tab w:val="left" w:pos="1418"/>
        </w:tabs>
        <w:ind w:left="1418" w:hanging="284"/>
        <w:contextualSpacing/>
      </w:pPr>
      <w:r>
        <w:t>Lavar con menos frecuencia los vehículos</w:t>
      </w:r>
    </w:p>
    <w:p w:rsidR="00BE6122" w:rsidRDefault="00BE6122" w:rsidP="000E30F2">
      <w:pPr>
        <w:pStyle w:val="Prrafodelista"/>
        <w:numPr>
          <w:ilvl w:val="0"/>
          <w:numId w:val="121"/>
        </w:numPr>
        <w:tabs>
          <w:tab w:val="left" w:pos="1418"/>
        </w:tabs>
        <w:ind w:left="1418" w:hanging="284"/>
        <w:contextualSpacing/>
      </w:pPr>
      <w:r>
        <w:t>Descontinuar el uso de manguera para limpiar la calle</w:t>
      </w:r>
    </w:p>
    <w:p w:rsidR="00BE6122" w:rsidRPr="00C90602" w:rsidRDefault="00BE6122" w:rsidP="00BE6122">
      <w:r w:rsidRPr="00EE3567">
        <w:rPr>
          <w:b/>
        </w:rPr>
        <w:t>Línea Estratégica 5. 3</w:t>
      </w:r>
      <w:r w:rsidRPr="00C90602">
        <w:t>.  Reglamentación del manejo del agua subterránea</w:t>
      </w:r>
    </w:p>
    <w:p w:rsidR="00BE6122" w:rsidRPr="00C90602" w:rsidRDefault="00BE6122" w:rsidP="00BE6122">
      <w:r w:rsidRPr="006D1ADE">
        <w:rPr>
          <w:i/>
        </w:rPr>
        <w:t>Línea de acción 5.3.1.</w:t>
      </w:r>
      <w:r w:rsidRPr="006D1ADE">
        <w:t xml:space="preserve"> Reglamentación del manejo del agua subterránea e incentivos a</w:t>
      </w:r>
      <w:r w:rsidRPr="00C90602">
        <w:t xml:space="preserve"> usuarios</w:t>
      </w:r>
    </w:p>
    <w:p w:rsidR="00BE6122" w:rsidRPr="00C90602" w:rsidRDefault="00BE6122" w:rsidP="000E30F2">
      <w:pPr>
        <w:pStyle w:val="Prrafodelista"/>
        <w:numPr>
          <w:ilvl w:val="0"/>
          <w:numId w:val="122"/>
        </w:numPr>
        <w:contextualSpacing/>
      </w:pPr>
      <w:r w:rsidRPr="00C90602">
        <w:t xml:space="preserve">Distribución de kits ahorradores con descuento. </w:t>
      </w:r>
    </w:p>
    <w:p w:rsidR="00BE6122" w:rsidRPr="00C90602" w:rsidRDefault="00BE6122" w:rsidP="00BE6122">
      <w:pPr>
        <w:pStyle w:val="Prrafodelista"/>
        <w:ind w:left="1416" w:firstLine="0"/>
      </w:pPr>
      <w:r w:rsidRPr="00C90602">
        <w:t xml:space="preserve">En esta actividad se deberá de establecer convenios con fabricantes de productos ahorradores para obtener precios reducidos, </w:t>
      </w:r>
      <w:proofErr w:type="spellStart"/>
      <w:r w:rsidRPr="00C90602">
        <w:t>asi</w:t>
      </w:r>
      <w:proofErr w:type="spellEnd"/>
      <w:r w:rsidRPr="00C90602">
        <w:t xml:space="preserve"> como con fontaneros para la instalación de los productos </w:t>
      </w:r>
    </w:p>
    <w:p w:rsidR="00BE6122" w:rsidRPr="00C90602" w:rsidRDefault="00BE6122" w:rsidP="000E30F2">
      <w:pPr>
        <w:pStyle w:val="Prrafodelista"/>
        <w:numPr>
          <w:ilvl w:val="0"/>
          <w:numId w:val="122"/>
        </w:numPr>
        <w:contextualSpacing/>
      </w:pPr>
      <w:r w:rsidRPr="00C90602">
        <w:t>Reglamentación del manejo del agua. La normatividad deberá considerar aspec</w:t>
      </w:r>
      <w:r>
        <w:t>t</w:t>
      </w:r>
      <w:r w:rsidRPr="00C90602">
        <w:t>os tales como:</w:t>
      </w:r>
    </w:p>
    <w:p w:rsidR="00BE6122" w:rsidRPr="00C90602" w:rsidRDefault="00BE6122" w:rsidP="000E30F2">
      <w:pPr>
        <w:pStyle w:val="Prrafodelista"/>
        <w:numPr>
          <w:ilvl w:val="0"/>
          <w:numId w:val="123"/>
        </w:numPr>
        <w:ind w:left="1418" w:hanging="284"/>
        <w:contextualSpacing/>
      </w:pPr>
      <w:r w:rsidRPr="00C90602">
        <w:t>Casos de éxito refieren que los costos de los servicios de agua deben reflejar los costos del suministro, así como tener tarifas que incentiven el uso eficiente del agua, ej. Reducción del 10% de la tarifa de agua a aquellos usuarios que comprueben una disminución del 10% de su consumo promedio del año anterior. De igual forma, se deberá considerar penalizar a los usuarios que tengan consumos excesivos con respecto al año anterior, sin embargo, es importante aclarar que la política tarifaria está directamente relacionada con la correcta medición que hace el OO al usuario.</w:t>
      </w:r>
    </w:p>
    <w:p w:rsidR="00BE6122" w:rsidRPr="00C90602" w:rsidRDefault="00BE6122" w:rsidP="000E30F2">
      <w:pPr>
        <w:pStyle w:val="Prrafodelista"/>
        <w:numPr>
          <w:ilvl w:val="0"/>
          <w:numId w:val="123"/>
        </w:numPr>
        <w:ind w:left="1418" w:hanging="284"/>
        <w:contextualSpacing/>
      </w:pPr>
      <w:r w:rsidRPr="00C90602">
        <w:t xml:space="preserve">La incorporación de medidas de ahorro y eficiencia en las instalaciones hidráulicas de los nuevos desarrollos urbanos, </w:t>
      </w:r>
    </w:p>
    <w:p w:rsidR="00BE6122" w:rsidRPr="00C90602" w:rsidRDefault="00BE6122" w:rsidP="000E30F2">
      <w:pPr>
        <w:pStyle w:val="Prrafodelista"/>
        <w:numPr>
          <w:ilvl w:val="0"/>
          <w:numId w:val="123"/>
        </w:numPr>
        <w:ind w:left="1418" w:hanging="284"/>
        <w:contextualSpacing/>
      </w:pPr>
      <w:r w:rsidRPr="00C90602">
        <w:t xml:space="preserve">Se debe de prohibir el uso de mangueras para lavar vehículos, así como el uso de agua potable para el riego de parques y jardines. </w:t>
      </w:r>
    </w:p>
    <w:p w:rsidR="00BE6122" w:rsidRPr="00BC6664" w:rsidRDefault="00BE6122" w:rsidP="00BE6122">
      <w:pPr>
        <w:ind w:firstLine="0"/>
      </w:pPr>
      <w:r w:rsidRPr="00EE3567">
        <w:rPr>
          <w:b/>
        </w:rPr>
        <w:t>Línea Estratégica 6. 1.</w:t>
      </w:r>
      <w:r w:rsidRPr="00BC6664">
        <w:t xml:space="preserve">  Investigación y tecnología de adaptación y mitigación a sequías</w:t>
      </w:r>
    </w:p>
    <w:p w:rsidR="003B1CD7" w:rsidRDefault="00BE6122" w:rsidP="00BE6122">
      <w:r>
        <w:t xml:space="preserve">En torno a las sequías es necesario identificar su intensidad probable y definir los mecanismos para </w:t>
      </w:r>
      <w:r w:rsidR="003B1CD7">
        <w:t xml:space="preserve">prevenir y </w:t>
      </w:r>
      <w:r>
        <w:t xml:space="preserve">mitigar sus efectos.  En lo que corresponde al </w:t>
      </w:r>
      <w:r w:rsidR="00B7593D">
        <w:t>Plan de M</w:t>
      </w:r>
      <w:r>
        <w:t>anejo, el estudio de las sequías obedece a aquellos usuarios de las aguas subterráneas.  Los productores agrícolas de temporal no se consideran usuarios d</w:t>
      </w:r>
      <w:r w:rsidR="00B7593D">
        <w:t>e las aguas nacionales.  En el Capítulo 11</w:t>
      </w:r>
      <w:r>
        <w:t xml:space="preserve"> del presente </w:t>
      </w:r>
      <w:r w:rsidR="00B7593D">
        <w:t>documento</w:t>
      </w:r>
      <w:r>
        <w:t xml:space="preserve">, se </w:t>
      </w:r>
      <w:r w:rsidR="003B1CD7">
        <w:t>describe a mayor detalle la caracterización de la zona de HLOP en términos de su susceptibilidad a la presencia de contingencias climatológicas, destacando que la</w:t>
      </w:r>
      <w:r w:rsidR="0020772C">
        <w:t xml:space="preserve"> </w:t>
      </w:r>
      <w:r w:rsidR="003B1CD7">
        <w:t>aplicación en tiempo y</w:t>
      </w:r>
      <w:r w:rsidR="0020772C">
        <w:t xml:space="preserve"> forma de las presentes Líneas E</w:t>
      </w:r>
      <w:r w:rsidR="003B1CD7">
        <w:t xml:space="preserve">stratégicas y de Acción, representan la mejor alternativa para la prevención y mitigación de impactos por estos fenómenos naturales. </w:t>
      </w:r>
    </w:p>
    <w:p w:rsidR="00BE6122" w:rsidRPr="006D1ADE" w:rsidRDefault="00BE6122" w:rsidP="00BE6122">
      <w:r w:rsidRPr="006D1ADE">
        <w:t>Línea de acción 6.1.1. Investigación</w:t>
      </w:r>
    </w:p>
    <w:p w:rsidR="00BE6122" w:rsidRDefault="00BE6122" w:rsidP="00BE6122">
      <w:r>
        <w:t>Es necesario contar con un estudio de los distintos componentes de la sequía, así como de aquellos elementos más susceptibles, vulnerables y en riesgo de ser afectado por estos eventos.</w:t>
      </w:r>
    </w:p>
    <w:p w:rsidR="00BE6122" w:rsidRDefault="00BE6122" w:rsidP="00BE6122">
      <w:r>
        <w:lastRenderedPageBreak/>
        <w:t>En este sentido, es conveniente la integración de un Atlas de Ri</w:t>
      </w:r>
      <w:r w:rsidR="00AA6E6F">
        <w:t>esgos Hidroclimatológicos para l</w:t>
      </w:r>
      <w:r>
        <w:t>a Cuenca de Oriental</w:t>
      </w:r>
      <w:r>
        <w:rPr>
          <w:rStyle w:val="Refdenotaalpie"/>
        </w:rPr>
        <w:footnoteReference w:id="4"/>
      </w:r>
      <w:r>
        <w:t>, mismo que represente el efecto histórico de las sequías, inundaciones y heladas</w:t>
      </w:r>
      <w:r w:rsidR="00AA6E6F">
        <w:t>,</w:t>
      </w:r>
      <w:r>
        <w:t xml:space="preserve"> y defina la vulnerabilidad de las actividades y el riesgo derivado de la gama de eventos probables.  El atlas habrá de definir una zonificación de la Cuenca, misma que establezca las áreas de mayor riesgo y proponga a grandes rasgos las alternativas de prevención ante estos eventos y señale algunos protocolos de emergencia activos y viables.</w:t>
      </w:r>
    </w:p>
    <w:p w:rsidR="00BE6122" w:rsidRDefault="00BE6122" w:rsidP="00BE6122">
      <w:r w:rsidRPr="00EF083B">
        <w:rPr>
          <w:b/>
        </w:rPr>
        <w:t>Línea Estrat</w:t>
      </w:r>
      <w:r>
        <w:rPr>
          <w:b/>
        </w:rPr>
        <w:t>égica 6</w:t>
      </w:r>
      <w:r w:rsidRPr="00EF083B">
        <w:rPr>
          <w:b/>
        </w:rPr>
        <w:t>.</w:t>
      </w:r>
      <w:r>
        <w:rPr>
          <w:b/>
        </w:rPr>
        <w:t xml:space="preserve"> 2</w:t>
      </w:r>
      <w:r w:rsidRPr="00EF083B">
        <w:rPr>
          <w:b/>
        </w:rPr>
        <w:t>.</w:t>
      </w:r>
      <w:r>
        <w:t xml:space="preserve">  Organización de usuarios para confrontar la ocurrencia de sequías</w:t>
      </w:r>
    </w:p>
    <w:p w:rsidR="00BE6122" w:rsidRPr="006D1ADE" w:rsidRDefault="00BE6122" w:rsidP="00BE6122">
      <w:r w:rsidRPr="006D1ADE">
        <w:rPr>
          <w:i/>
        </w:rPr>
        <w:t>Línea de acción 6.2.1.</w:t>
      </w:r>
      <w:r w:rsidRPr="006D1ADE">
        <w:t xml:space="preserve"> Capacitación de usuarios para enfrentar la sequía</w:t>
      </w:r>
    </w:p>
    <w:p w:rsidR="00BE6122" w:rsidRDefault="00BE6122" w:rsidP="00BE6122">
      <w:r>
        <w:t>Es conveniente dar a conocer a los usuarios del agua, lo que representa el riesgo de una sequía, la recurrencia de estos fenómenos en el área de estudio y sus implicaciones.   Igualmente es conveniente mostrar la importancia de respetar las fechas precisas para el desarrollo de los cultivos y el grado de tolerancia de éstos a la deficiencia de precipitación.</w:t>
      </w:r>
    </w:p>
    <w:p w:rsidR="00BE6122" w:rsidRDefault="00BE6122" w:rsidP="00BE6122">
      <w:r>
        <w:t>Un aspecto clave es la difusión de la definición del concepto de sequía de acuerdo con la Ley que rige la aplicación de fondos de emergencia para estos fenómenos, de manera que los usuarios distingan lo que es un año seco, de lo que es un año con sequía, de manera que tomen medidas preventivas para ambos casos.  Asimismo, es conveniente darles a conocer el procedimiento para acceder a los programas de apoyo para mitigar el impacto de las sequías.</w:t>
      </w:r>
    </w:p>
    <w:p w:rsidR="00BE6122" w:rsidRPr="00A8332C" w:rsidRDefault="00BE6122" w:rsidP="008011C2">
      <w:pPr>
        <w:outlineLvl w:val="0"/>
      </w:pPr>
      <w:r w:rsidRPr="00EE3567">
        <w:rPr>
          <w:b/>
        </w:rPr>
        <w:t>Línea Estratégica 6. 3.</w:t>
      </w:r>
      <w:r w:rsidRPr="00A8332C">
        <w:t xml:space="preserve">  Protección ambiental y civil </w:t>
      </w:r>
    </w:p>
    <w:p w:rsidR="00BE6122" w:rsidRPr="006D1ADE" w:rsidRDefault="00BE6122" w:rsidP="008011C2">
      <w:pPr>
        <w:outlineLvl w:val="0"/>
      </w:pPr>
      <w:r w:rsidRPr="006D1ADE">
        <w:rPr>
          <w:i/>
        </w:rPr>
        <w:t>Línea de acción 6.3.1.</w:t>
      </w:r>
      <w:r w:rsidRPr="006D1ADE">
        <w:t xml:space="preserve"> Estudios y proyectos de protección ambiental y civil</w:t>
      </w:r>
    </w:p>
    <w:p w:rsidR="00BE6122" w:rsidRDefault="00BE6122" w:rsidP="00BE6122">
      <w:r>
        <w:t>Particularmente las localidades que se abastecen de aprovechamientos someros, se encuentran expuestas a un decremento en el gasto de sus captaciones durante los períodos de estiaje y más aún durante las sequías.  Es por ello necesario estudiar a detalle dónde se encuentran las localidades expuestas a esta problemática, buscar fuentes alternas de emergencia y definir las acciones de protección contra las sequías, diseñar los proyectos requeridos y concretar las bases para su financiamiento.</w:t>
      </w:r>
    </w:p>
    <w:p w:rsidR="00BE6122" w:rsidRDefault="00BE6122" w:rsidP="00BE6122">
      <w:r>
        <w:t xml:space="preserve">La sequía tiene como efecto un incremento de la demanda de agua para todos los usos.  Durante estos eventos, la recarga de los acuíferos se encuentra atenuada y la extracción de agua se intensifica.  Particularmente las áreas donde residen especies vegetales </w:t>
      </w:r>
      <w:proofErr w:type="spellStart"/>
      <w:r>
        <w:t>freatófitas</w:t>
      </w:r>
      <w:proofErr w:type="spellEnd"/>
      <w:r>
        <w:t xml:space="preserve">, aquellos sitios próximos a las lagunas y a las lagunas cráter, se ven expuestos a una reducción de su humedad por el abatimiento de los niveles piezométricos del acuífero.  Estos fenómenos requieren </w:t>
      </w:r>
      <w:r>
        <w:lastRenderedPageBreak/>
        <w:t xml:space="preserve">de un estudio detallado de orden estacional.  La protección ambiental desde esta perspectiva se conjuga con la necesidad de proteger la </w:t>
      </w:r>
      <w:proofErr w:type="spellStart"/>
      <w:r>
        <w:t>someridad</w:t>
      </w:r>
      <w:proofErr w:type="spellEnd"/>
      <w:r>
        <w:t xml:space="preserve"> del nivel estático en las áreas que el acuífero satisface una demanda aprovechada por especies vegetales y animales, principalmente dentro del acuífero Libres – Oriental.</w:t>
      </w:r>
    </w:p>
    <w:p w:rsidR="00BE6122" w:rsidRDefault="00BE6122" w:rsidP="00BE6122">
      <w:r w:rsidRPr="00EF083B">
        <w:rPr>
          <w:b/>
        </w:rPr>
        <w:t>Línea Estrat</w:t>
      </w:r>
      <w:r>
        <w:rPr>
          <w:b/>
        </w:rPr>
        <w:t>égica 7</w:t>
      </w:r>
      <w:r w:rsidRPr="00EF083B">
        <w:rPr>
          <w:b/>
        </w:rPr>
        <w:t>.</w:t>
      </w:r>
      <w:r>
        <w:rPr>
          <w:b/>
        </w:rPr>
        <w:t>1</w:t>
      </w:r>
      <w:r w:rsidRPr="00EF083B">
        <w:rPr>
          <w:b/>
        </w:rPr>
        <w:t>.</w:t>
      </w:r>
      <w:r>
        <w:t xml:space="preserve">  Definición de soluciones para el deterioro ambiental de elementos directamente relacionados con el agua</w:t>
      </w:r>
    </w:p>
    <w:p w:rsidR="00BE6122" w:rsidRDefault="00BE6122" w:rsidP="00BE6122">
      <w:r w:rsidRPr="006D1ADE">
        <w:rPr>
          <w:i/>
        </w:rPr>
        <w:t>Línea de acción 7.1.1.</w:t>
      </w:r>
      <w:r w:rsidRPr="006D1ADE">
        <w:t xml:space="preserve"> Definición de soluciones para el deterioro ambiental de elementos</w:t>
      </w:r>
      <w:r>
        <w:t xml:space="preserve"> directamente relacionados con el agua</w:t>
      </w:r>
    </w:p>
    <w:p w:rsidR="00BE6122" w:rsidRDefault="00BE6122" w:rsidP="00BE6122">
      <w:r>
        <w:t>Así como se describe en apartados precedentes, el ambiente de la cuenca del Valle de Oriental ha sufrido importantes cambios a través de los últimos siglos, mismos que se resumen en un proceso gradual de desertificación.  Muchos cambios son irreversibles, sin embargo, un objetivo actual es frenar la tasa de deterioro y complementariamente, mejorar las condiciones ambientales por medio de la protección de los recursos naturales y de la biodiversidad, con lo cual tendrán lugar nuevos ecosistemas y condiciones diferentes a las históricas, pero que deben incrementar las oportunidades de desarrollo humano y ambiental.</w:t>
      </w:r>
    </w:p>
    <w:p w:rsidR="00BE6122" w:rsidRDefault="00BE6122" w:rsidP="00BE6122">
      <w:r w:rsidRPr="00EF083B">
        <w:rPr>
          <w:b/>
        </w:rPr>
        <w:t>Línea Estrat</w:t>
      </w:r>
      <w:r>
        <w:rPr>
          <w:b/>
        </w:rPr>
        <w:t>égica 7</w:t>
      </w:r>
      <w:r w:rsidRPr="00EF083B">
        <w:rPr>
          <w:b/>
        </w:rPr>
        <w:t>.</w:t>
      </w:r>
      <w:r>
        <w:rPr>
          <w:b/>
        </w:rPr>
        <w:t xml:space="preserve"> 2</w:t>
      </w:r>
      <w:r w:rsidRPr="00EF083B">
        <w:rPr>
          <w:b/>
        </w:rPr>
        <w:t>.</w:t>
      </w:r>
      <w:r>
        <w:t xml:space="preserve">  Investigación del cambio climático y su incidencia en el ciclo hidrológico</w:t>
      </w:r>
    </w:p>
    <w:p w:rsidR="00BE6122" w:rsidRPr="006D1ADE" w:rsidRDefault="00BE6122" w:rsidP="00BE6122">
      <w:r w:rsidRPr="006D1ADE">
        <w:rPr>
          <w:i/>
        </w:rPr>
        <w:t>Línea de acción 7.2.1.</w:t>
      </w:r>
      <w:r w:rsidRPr="006D1ADE">
        <w:t xml:space="preserve"> Investigación del cambio climático y su incidencia en el ciclo hidrológico</w:t>
      </w:r>
    </w:p>
    <w:p w:rsidR="00BE6122" w:rsidRDefault="00BE6122" w:rsidP="00BE6122">
      <w:r>
        <w:t>En la cuenca tanto el cambio climático y particularmente el hidrológico, son fenómenos que definen una tendencia para cada una de las variables del ciclo hidrológico.  El calentamiento global constituye un factor que de acuerdo con los pronósticos, puede reducir la lluvia e incrementar la temperatura, con lo cual se incrementaría la demanda del agua con las consecuencias que ello implica.</w:t>
      </w:r>
    </w:p>
    <w:p w:rsidR="00BE6122" w:rsidRDefault="00BE6122" w:rsidP="00BE6122">
      <w:r w:rsidRPr="00EF083B">
        <w:rPr>
          <w:b/>
        </w:rPr>
        <w:t>Línea Estrat</w:t>
      </w:r>
      <w:r>
        <w:rPr>
          <w:b/>
        </w:rPr>
        <w:t>égica 8</w:t>
      </w:r>
      <w:r w:rsidRPr="00EF083B">
        <w:rPr>
          <w:b/>
        </w:rPr>
        <w:t>.</w:t>
      </w:r>
      <w:r>
        <w:rPr>
          <w:b/>
        </w:rPr>
        <w:t xml:space="preserve"> 1</w:t>
      </w:r>
      <w:r w:rsidRPr="00EF083B">
        <w:rPr>
          <w:b/>
        </w:rPr>
        <w:t>.</w:t>
      </w:r>
      <w:r>
        <w:t xml:space="preserve">  Actualizar periódicamente los padrones de usuarios y contribuyentes de las aguas nacionales</w:t>
      </w:r>
    </w:p>
    <w:p w:rsidR="00BE6122" w:rsidRPr="006D1ADE" w:rsidRDefault="00BE6122" w:rsidP="00BE6122">
      <w:r w:rsidRPr="006D1ADE">
        <w:rPr>
          <w:i/>
        </w:rPr>
        <w:t>Línea de acción 8.1.1.</w:t>
      </w:r>
      <w:r w:rsidRPr="006D1ADE">
        <w:t xml:space="preserve"> Actualización del padrón de usuarios</w:t>
      </w:r>
    </w:p>
    <w:p w:rsidR="00BE6122" w:rsidRDefault="00BE6122" w:rsidP="00BE6122">
      <w:r>
        <w:t>Es conveniente integrar padrones de usuarios con información accesible para las instituciones, con información para contactarlos, acceder a sus aprovechamientos y conocer tanto el nombre del titular de cada concesión, como el usuario en turno.  Es conveniente ligar estas bases de datos a los sistemas de información e igualmente es necesario que dichos bancos de información se unifiquen, para evitar la duplicidad de bases de datos, la ineficiencia en la actualización de los datos y una confiabilidad limitada en cada caso.</w:t>
      </w:r>
    </w:p>
    <w:p w:rsidR="00BE6122" w:rsidRDefault="00BE6122" w:rsidP="00BE6122">
      <w:r w:rsidRPr="00EF083B">
        <w:rPr>
          <w:b/>
        </w:rPr>
        <w:t>Línea Estrat</w:t>
      </w:r>
      <w:r>
        <w:rPr>
          <w:b/>
        </w:rPr>
        <w:t>égica 8</w:t>
      </w:r>
      <w:r w:rsidRPr="00EF083B">
        <w:rPr>
          <w:b/>
        </w:rPr>
        <w:t>.</w:t>
      </w:r>
      <w:r>
        <w:rPr>
          <w:b/>
        </w:rPr>
        <w:t xml:space="preserve"> 2</w:t>
      </w:r>
      <w:r w:rsidRPr="00EF083B">
        <w:rPr>
          <w:b/>
        </w:rPr>
        <w:t>.</w:t>
      </w:r>
      <w:r>
        <w:t xml:space="preserve">  Establecer los mecanismos para llevar a cabo la medición de las aguas nacionales</w:t>
      </w:r>
    </w:p>
    <w:p w:rsidR="00BE6122" w:rsidRPr="006D1ADE" w:rsidRDefault="00BE6122" w:rsidP="00BE6122">
      <w:r w:rsidRPr="006D1ADE">
        <w:rPr>
          <w:i/>
        </w:rPr>
        <w:t>Línea de acción 8.2.1.</w:t>
      </w:r>
      <w:r w:rsidRPr="006D1ADE">
        <w:t xml:space="preserve"> Colocación de medidores volumétricos</w:t>
      </w:r>
    </w:p>
    <w:p w:rsidR="00BE6122" w:rsidRDefault="00BE6122" w:rsidP="00BE6122">
      <w:r>
        <w:lastRenderedPageBreak/>
        <w:t>Tal como se enfatiza en objetivos anteriores, la medición de las aguas es la base para conocer con precisión el volumen aprovechado y tomar medidas para el control del recurso hídrico.  Dado que actualmente es una minoría la que cuenta con medidores, es necesaria la colocación de éstos y a través del horizonte de planeación reemplazarlos cuando se requiera.</w:t>
      </w:r>
    </w:p>
    <w:p w:rsidR="00BE6122" w:rsidRDefault="00BE6122" w:rsidP="00BE6122">
      <w:r w:rsidRPr="00EF083B">
        <w:rPr>
          <w:b/>
        </w:rPr>
        <w:t>Línea Estrat</w:t>
      </w:r>
      <w:r>
        <w:rPr>
          <w:b/>
        </w:rPr>
        <w:t>égica 8</w:t>
      </w:r>
      <w:r w:rsidRPr="00EF083B">
        <w:rPr>
          <w:b/>
        </w:rPr>
        <w:t>.</w:t>
      </w:r>
      <w:r>
        <w:rPr>
          <w:b/>
        </w:rPr>
        <w:t xml:space="preserve"> 3</w:t>
      </w:r>
      <w:r w:rsidRPr="00EF083B">
        <w:rPr>
          <w:b/>
        </w:rPr>
        <w:t>.</w:t>
      </w:r>
      <w:r>
        <w:t xml:space="preserve">  Establecer mecanismos y herramientas de orientación y asistencia al contribuyente de aguas nacionales y sus bienes públicos inherentes</w:t>
      </w:r>
    </w:p>
    <w:p w:rsidR="00BE6122" w:rsidRPr="006D1ADE" w:rsidRDefault="00BE6122" w:rsidP="00BE6122">
      <w:r w:rsidRPr="006D1ADE">
        <w:rPr>
          <w:i/>
        </w:rPr>
        <w:t>Línea de acción 8.3.1.</w:t>
      </w:r>
      <w:r w:rsidRPr="006D1ADE">
        <w:t xml:space="preserve"> Asistencia fiscal a los contribuyentes</w:t>
      </w:r>
    </w:p>
    <w:p w:rsidR="00BE6122" w:rsidRDefault="00BE6122" w:rsidP="00BE6122">
      <w:r>
        <w:t>Todo marco jurídico mejorará la calidad de vida en la medida que se aplique.  La Ley de Aguas Nacionales es un instrumento necesario para la equidad y sustentabilidad en el manejo del agua.  La Ley Federal de Derechos define las participaciones y responsabilidades de los usuarios de las aguas nacionales, que son respuesta a su derecho de aprovechar tanto el agua con los cuerpos de agua y bancos de materiales.  Es por ello necesario que todos aquellos usuarios a quienes corresponde la obligación de contribuir a través de un pago de derechos, tengan conocimiento de sus obligaciones y de los procedimientos para cumplir con ellas en tiempo y forma.  Para ello, es conveniente la sinergia con módulos de información ubicados en todos los municipios ubicados dentro de los acuíferos, donde exista orientación a los contribuyentes.</w:t>
      </w:r>
    </w:p>
    <w:p w:rsidR="00BE6122" w:rsidRDefault="00BE6122" w:rsidP="00BE6122">
      <w:r w:rsidRPr="00EF083B">
        <w:rPr>
          <w:b/>
        </w:rPr>
        <w:t>Línea Estrat</w:t>
      </w:r>
      <w:r>
        <w:rPr>
          <w:b/>
        </w:rPr>
        <w:t>égica 8</w:t>
      </w:r>
      <w:r w:rsidRPr="00EF083B">
        <w:rPr>
          <w:b/>
        </w:rPr>
        <w:t>.</w:t>
      </w:r>
      <w:r>
        <w:rPr>
          <w:b/>
        </w:rPr>
        <w:t xml:space="preserve"> 4</w:t>
      </w:r>
      <w:r w:rsidRPr="00EF083B">
        <w:rPr>
          <w:b/>
        </w:rPr>
        <w:t>.</w:t>
      </w:r>
      <w:r>
        <w:t xml:space="preserve">  Fortalecer la aplicación de los mecanismos de control previstos en la Ley y vigilar la adecuada utilización de las asignaciones y concesiones de aguas nacionales y permisos de descargas de aguas residuales para propiciar un adecuado manejo y preservación del agua</w:t>
      </w:r>
    </w:p>
    <w:p w:rsidR="00BE6122" w:rsidRPr="006D1ADE" w:rsidRDefault="00BE6122" w:rsidP="00BE6122">
      <w:r w:rsidRPr="006D1ADE">
        <w:rPr>
          <w:i/>
        </w:rPr>
        <w:t>Línea de acción 8.4.1.</w:t>
      </w:r>
      <w:r w:rsidRPr="006D1ADE">
        <w:t xml:space="preserve"> Inspección de usuarios de aguas nacionales y de cauces</w:t>
      </w:r>
    </w:p>
    <w:p w:rsidR="00BE6122" w:rsidRDefault="00BE6122" w:rsidP="00BE6122">
      <w:r>
        <w:t>La CONAGUA año con año realiza la inspección a usuarios de las aguas nacionales y cauces, no obstante, es necesario contar con más recursos para dicho monitoreo, de manera que se acceda también a usuarios de los distintos usos y en gran medida, en los usuarios de agua del sector agrícola.  Para ello, es necesario designar los recursos humanos, técnicos y materiales requeridos para llevar a cabo oportunamente esta tarea, con una supervisión que asegure la calidad de los procedimientos.  En  este ámbito, se considera la inspección de los 1,381 aprovechamientos y en sí, de otros aprovechamientos no identificados hasta ahora.  La inspección debe realizarse preferentemente todos los años en cada una de las captaciones.</w:t>
      </w:r>
    </w:p>
    <w:p w:rsidR="00BE6122" w:rsidRDefault="00BE6122" w:rsidP="00BE6122">
      <w:r w:rsidRPr="00EF083B">
        <w:rPr>
          <w:b/>
        </w:rPr>
        <w:t>Línea Estrat</w:t>
      </w:r>
      <w:r>
        <w:rPr>
          <w:b/>
        </w:rPr>
        <w:t>égica 8</w:t>
      </w:r>
      <w:r w:rsidRPr="00EF083B">
        <w:rPr>
          <w:b/>
        </w:rPr>
        <w:t>.</w:t>
      </w:r>
      <w:r>
        <w:rPr>
          <w:b/>
        </w:rPr>
        <w:t xml:space="preserve"> 5</w:t>
      </w:r>
      <w:r w:rsidRPr="00EF083B">
        <w:rPr>
          <w:b/>
        </w:rPr>
        <w:t>.</w:t>
      </w:r>
      <w:r>
        <w:t xml:space="preserve">  Incrementar la presencia fiscal y administrativa entre contribuyentes de aguas nacionales y sus bienes públicos inherentes, mediante la práctica de visitas domiciliarias, además de las revisiones fiscales de gabinete que se practican</w:t>
      </w:r>
    </w:p>
    <w:p w:rsidR="00BE6122" w:rsidRPr="006D1ADE" w:rsidRDefault="00BE6122" w:rsidP="00BE6122">
      <w:r w:rsidRPr="006D1ADE">
        <w:rPr>
          <w:i/>
        </w:rPr>
        <w:t>Línea de acción 8.5.1.</w:t>
      </w:r>
      <w:r w:rsidRPr="006D1ADE">
        <w:t xml:space="preserve"> Aplicación efectiva de la normatividad</w:t>
      </w:r>
    </w:p>
    <w:p w:rsidR="00BE6122" w:rsidRDefault="00BE6122" w:rsidP="00BE6122">
      <w:r>
        <w:t xml:space="preserve">La aplicación efectiva de la normatividad cuenta ya actualmente con procedimientos establecidos para garantizar el ejercicio pleno y oportuno de la Ley.  No obstante, en la realidad dichos instrumentos han carecido de suficientes recursos e instrumentos materiales, humanos, técnicos y económicos para su aplicación.  Asimismo, las deficiencias en la precisión de los datos </w:t>
      </w:r>
      <w:r>
        <w:lastRenderedPageBreak/>
        <w:t>de los aprovechamientos y en general en los bancos de información, dificultan la confirmación de los elementos necesarios para aplicar la normatividad.  De este modo, la ejecución de las medidas previamente descritas, permitirá hacer la aplicación del marco normativo y con ello, proteger las aguas nacionales, que son un patrimonio de la sociedad.</w:t>
      </w:r>
    </w:p>
    <w:p w:rsidR="00BE6122" w:rsidRDefault="00BE6122" w:rsidP="00BE6122">
      <w:r w:rsidRPr="00EF083B">
        <w:rPr>
          <w:b/>
        </w:rPr>
        <w:t>Línea Estrat</w:t>
      </w:r>
      <w:r>
        <w:rPr>
          <w:b/>
        </w:rPr>
        <w:t>égica 8</w:t>
      </w:r>
      <w:r w:rsidRPr="00EF083B">
        <w:rPr>
          <w:b/>
        </w:rPr>
        <w:t>.</w:t>
      </w:r>
      <w:r>
        <w:rPr>
          <w:b/>
        </w:rPr>
        <w:t xml:space="preserve"> 6</w:t>
      </w:r>
      <w:r w:rsidRPr="00EF083B">
        <w:rPr>
          <w:b/>
        </w:rPr>
        <w:t>.</w:t>
      </w:r>
      <w:r>
        <w:t xml:space="preserve">  Revisar los esquemas recaudatorios en materia de aguas nacionales y particularmente de descargas de aguas residuales, para contribuir al saneamiento de las cuencas y acuíferos</w:t>
      </w:r>
    </w:p>
    <w:p w:rsidR="00BE6122" w:rsidRDefault="00BE6122" w:rsidP="00BE6122">
      <w:r w:rsidRPr="006D1ADE">
        <w:rPr>
          <w:i/>
        </w:rPr>
        <w:t>Línea de acción 8.6.1.</w:t>
      </w:r>
      <w:r w:rsidRPr="006D1ADE">
        <w:t xml:space="preserve"> Incentivar programas recaudatorios que estimulan la inversión federal</w:t>
      </w:r>
      <w:r>
        <w:t xml:space="preserve"> dentro del acuífero</w:t>
      </w:r>
    </w:p>
    <w:p w:rsidR="00BE6122" w:rsidRDefault="00BE6122" w:rsidP="00BE6122">
      <w:r>
        <w:t>La inversión federal se aplica a través de los Programas Federalizados de Inversión tanto en el sector agrícola, como en el de agua potable, alcantarillado y saneamiento.  Igualmente existen programas institucionales de SAGARPA de gran relevancia.   Sin embargo, para acceder a dichos programas de inversión, es necesario cumplir con una serie de requisitos básicos y que aun cuando no resultan costosos, requieren de que cada usuario tenga conocimiento de dichos requisitos y destine el tiempo requerido a cumplir con las condiciones, con la documentación y en su caso con la personalidad jurídica que sugieren los programas para su aplicación.  Adicionalmente, aun cuando los programas federales aportan por lo normal más del 50% de los recursos, la contraparte provista por los usuarios puede ser inviable debido a la falta de liquidez económica de estos últimos.  Es por ello conveniente que exista un padrón de usuarios, donde estos sean caracterizados y mediante un esquema de organización instituido por el COTAS (preferentemente), se identifique la posibilidad que cada usuario tiene de acceder a cada programa, así como los requisitos pendientes por cumplir, de manera que con la orientación institucional, estos se aproximen y maximicen la posibilidad de contar con los programas de inversión.</w:t>
      </w:r>
    </w:p>
    <w:p w:rsidR="00BE6122" w:rsidRPr="00B0399A" w:rsidRDefault="00BE6122" w:rsidP="00BE6122">
      <w:r>
        <w:t>Los programas de inversión federal, dependen en gran medida de la capacidad de pago de los mismos usuarios de las aguas nacionales, es por ello necesario también caracterizar a los distintos contribuyentes de agua, así como su situación y las causas a superar para el cumplimiento del pago de sus obligaciones.</w:t>
      </w:r>
    </w:p>
    <w:p w:rsidR="00007268" w:rsidRDefault="00007268" w:rsidP="000574FF"/>
    <w:p w:rsidR="00007268" w:rsidRDefault="00007268" w:rsidP="008011C2">
      <w:pPr>
        <w:pStyle w:val="Ttulo1"/>
      </w:pPr>
      <w:bookmarkStart w:id="211" w:name="_Toc283886482"/>
      <w:r>
        <w:lastRenderedPageBreak/>
        <w:t>Costos y financiamiento</w:t>
      </w:r>
      <w:bookmarkEnd w:id="211"/>
    </w:p>
    <w:p w:rsidR="00673A79" w:rsidRDefault="00673A79" w:rsidP="00673A79">
      <w:pPr>
        <w:pStyle w:val="Ttulo3"/>
      </w:pPr>
      <w:bookmarkStart w:id="212" w:name="_Toc283886483"/>
      <w:r>
        <w:t>Costos</w:t>
      </w:r>
      <w:bookmarkEnd w:id="212"/>
    </w:p>
    <w:p w:rsidR="00673A79" w:rsidRDefault="00673A79" w:rsidP="00673A79">
      <w:r>
        <w:t xml:space="preserve">El costo de los proyectos involucra el valor económico requerido para solventar los recursos de los mismos y también el efecto negativo que pueden tener con respecto a la alternativa de no llevarlos a cabo.   A partir de la problemática determinada y analizada en el presente estudio, se establecieron las líneas estratégicas y actividades específicas que enmarcadas dentro de objetivos oficiales pretenden dar solución a las áreas de oportunidad detectadas en la región de nuestro interés. </w:t>
      </w:r>
    </w:p>
    <w:p w:rsidR="006D1ADE" w:rsidRPr="006D1ADE" w:rsidRDefault="006D1ADE" w:rsidP="006D1ADE">
      <w:bookmarkStart w:id="213" w:name="_Ref270073842"/>
      <w:bookmarkStart w:id="214" w:name="_Toc273962884"/>
      <w:r w:rsidRPr="006D1ADE">
        <w:t>Se establece que el costo total de las inversiones programadas para su ejercicio en un período de 30 años, resulta de 3,196 MDP. En términos porcentuales, el Objetivo 1 relacionado con el sector agrícola es el de mayor peso al alcanzar prácticamente el 39.4% del total. Posteriormente, los Objetivos 2 y 3, (agua potable, alcantarillado y saneamiento, así como el manejo de cuencas, respectivamente), se ubican en el segundo y tercer lugar de inversiones. Estos tres objetivos en su conjunto requieren el 79.79% de las inversiones totales, lo que representa en valores monetarios, 2,550 MDP.</w:t>
      </w:r>
    </w:p>
    <w:p w:rsidR="006D1ADE" w:rsidRPr="006D1ADE" w:rsidRDefault="006D1ADE" w:rsidP="006D1ADE">
      <w:r w:rsidRPr="006D1ADE">
        <w:t>Las acciones no estructurales (representadas por los Objetivos 4, 5, 6, 7 y 8) los cuales  garantizan la coordinación y cooperación de todos los actores, dado que se presentan como eje toral del cual depende la viabilidad de todos los proyectos.  Su costo económico de implantación es comparablemente menor a los anteriores, 645 MDP (20.20%).</w:t>
      </w:r>
    </w:p>
    <w:bookmarkEnd w:id="213"/>
    <w:bookmarkEnd w:id="214"/>
    <w:p w:rsidR="00673A79" w:rsidRDefault="00673A79" w:rsidP="00673A79"/>
    <w:p w:rsidR="00673A79" w:rsidRDefault="00673A79" w:rsidP="00673A79"/>
    <w:p w:rsidR="00673A79" w:rsidRDefault="00673A79" w:rsidP="00673A79">
      <w:pPr>
        <w:sectPr w:rsidR="00673A79" w:rsidSect="000E30F2">
          <w:headerReference w:type="even" r:id="rId94"/>
          <w:headerReference w:type="default" r:id="rId95"/>
          <w:footerReference w:type="default" r:id="rId96"/>
          <w:pgSz w:w="12240" w:h="15840" w:code="1"/>
          <w:pgMar w:top="1701" w:right="1134" w:bottom="1701" w:left="1418" w:header="709" w:footer="567" w:gutter="0"/>
          <w:cols w:space="708"/>
          <w:docGrid w:linePitch="360"/>
        </w:sectPr>
      </w:pPr>
    </w:p>
    <w:p w:rsidR="004073C0" w:rsidRDefault="004073C0" w:rsidP="004073C0">
      <w:bookmarkStart w:id="215" w:name="_Ref270075959"/>
      <w:bookmarkStart w:id="216" w:name="_Toc273962908"/>
    </w:p>
    <w:p w:rsidR="004073C0" w:rsidRDefault="004073C0" w:rsidP="004073C0"/>
    <w:p w:rsidR="004073C0" w:rsidRDefault="004073C0" w:rsidP="004073C0"/>
    <w:p w:rsidR="004073C0" w:rsidRPr="00CC00CB" w:rsidRDefault="004073C0" w:rsidP="004073C0">
      <w:pPr>
        <w:pStyle w:val="Tabla1cap12"/>
        <w:ind w:left="56" w:firstLine="10"/>
        <w:rPr>
          <w:lang w:val="es-MX"/>
        </w:rPr>
      </w:pPr>
      <w:bookmarkStart w:id="217" w:name="_Toc274661351"/>
      <w:r>
        <w:rPr>
          <w:lang w:val="es-MX"/>
        </w:rPr>
        <w:t xml:space="preserve">Inversión </w:t>
      </w:r>
      <w:r w:rsidRPr="001A7174">
        <w:rPr>
          <w:lang w:val="es-MX"/>
        </w:rPr>
        <w:t xml:space="preserve">para el manejo integrado del acuífero Huamantla – Libres Oriental – Perote, por acuífero. </w:t>
      </w:r>
      <w:r>
        <w:rPr>
          <w:lang w:val="es-MX"/>
        </w:rPr>
        <w:t>(</w:t>
      </w:r>
      <w:r w:rsidRPr="00CC00CB">
        <w:rPr>
          <w:lang w:val="es-MX"/>
        </w:rPr>
        <w:t>miles $</w:t>
      </w:r>
      <w:r>
        <w:rPr>
          <w:lang w:val="es-MX"/>
        </w:rPr>
        <w:t>)</w:t>
      </w:r>
      <w:bookmarkEnd w:id="217"/>
    </w:p>
    <w:tbl>
      <w:tblPr>
        <w:tblW w:w="5030" w:type="pct"/>
        <w:tblBorders>
          <w:top w:val="single" w:sz="12" w:space="0" w:color="008000"/>
          <w:bottom w:val="single" w:sz="12" w:space="0" w:color="008000"/>
        </w:tblBorders>
        <w:tblLook w:val="04A0"/>
      </w:tblPr>
      <w:tblGrid>
        <w:gridCol w:w="328"/>
        <w:gridCol w:w="4969"/>
        <w:gridCol w:w="1384"/>
        <w:gridCol w:w="1528"/>
        <w:gridCol w:w="1640"/>
        <w:gridCol w:w="1385"/>
        <w:gridCol w:w="1496"/>
      </w:tblGrid>
      <w:tr w:rsidR="004073C0" w:rsidRPr="00032F14" w:rsidTr="00AE6F20">
        <w:trPr>
          <w:trHeight w:val="255"/>
        </w:trPr>
        <w:tc>
          <w:tcPr>
            <w:tcW w:w="129"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 </w:t>
            </w:r>
          </w:p>
        </w:tc>
        <w:tc>
          <w:tcPr>
            <w:tcW w:w="1952"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Objetivo</w:t>
            </w:r>
          </w:p>
        </w:tc>
        <w:tc>
          <w:tcPr>
            <w:tcW w:w="544"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Huamantla</w:t>
            </w:r>
          </w:p>
        </w:tc>
        <w:tc>
          <w:tcPr>
            <w:tcW w:w="600"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Libres-Oriental</w:t>
            </w:r>
          </w:p>
        </w:tc>
        <w:tc>
          <w:tcPr>
            <w:tcW w:w="644"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Perote-Zalayeta</w:t>
            </w:r>
          </w:p>
        </w:tc>
        <w:tc>
          <w:tcPr>
            <w:tcW w:w="544"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HLOP</w:t>
            </w:r>
          </w:p>
        </w:tc>
        <w:tc>
          <w:tcPr>
            <w:tcW w:w="588" w:type="pct"/>
            <w:tcBorders>
              <w:bottom w:val="single" w:sz="6" w:space="0" w:color="008000"/>
            </w:tcBorders>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Total</w:t>
            </w:r>
          </w:p>
        </w:tc>
      </w:tr>
      <w:tr w:rsidR="004073C0" w:rsidRPr="00032F14" w:rsidTr="00AE6F20">
        <w:trPr>
          <w:trHeight w:val="300"/>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1</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Mejorar la productividad del agua en el sector agrícola</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$451,640.00</w:t>
            </w:r>
          </w:p>
        </w:tc>
        <w:tc>
          <w:tcPr>
            <w:tcW w:w="600"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$669,164.00</w:t>
            </w:r>
          </w:p>
        </w:tc>
        <w:tc>
          <w:tcPr>
            <w:tcW w:w="6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$139,360.00</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88"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$1,260,164.00</w:t>
            </w:r>
          </w:p>
        </w:tc>
      </w:tr>
      <w:tr w:rsidR="004073C0" w:rsidRPr="00032F14" w:rsidTr="00AE6F20">
        <w:trPr>
          <w:trHeight w:val="525"/>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2</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Incrementar el acceso y la calidad de los servicios de agua potable, alcantarillado y saneamiento</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$103,941.00</w:t>
            </w:r>
          </w:p>
        </w:tc>
        <w:tc>
          <w:tcPr>
            <w:tcW w:w="600"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$279,617.00</w:t>
            </w:r>
          </w:p>
        </w:tc>
        <w:tc>
          <w:tcPr>
            <w:tcW w:w="6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$68,173.00</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$462,608.00 </w:t>
            </w:r>
          </w:p>
        </w:tc>
        <w:tc>
          <w:tcPr>
            <w:tcW w:w="588"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$914,339.00</w:t>
            </w:r>
          </w:p>
        </w:tc>
      </w:tr>
      <w:tr w:rsidR="004073C0" w:rsidRPr="00032F14" w:rsidTr="00AE6F20">
        <w:trPr>
          <w:trHeight w:val="300"/>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3</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Promover el manejo integrado del agua en cuencas y acuíferos</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$105, 870.00</w:t>
            </w:r>
          </w:p>
        </w:tc>
        <w:tc>
          <w:tcPr>
            <w:tcW w:w="600"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$149,645.00</w:t>
            </w:r>
          </w:p>
        </w:tc>
        <w:tc>
          <w:tcPr>
            <w:tcW w:w="6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$120,485.00</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88"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$376,000.00</w:t>
            </w:r>
          </w:p>
        </w:tc>
      </w:tr>
      <w:tr w:rsidR="004073C0" w:rsidRPr="00032F14" w:rsidTr="00AE6F20">
        <w:trPr>
          <w:trHeight w:val="525"/>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4</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Mejorar el desarrollo técnico, administrativo y financiero del sector hidráulico</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$92,235.00</w:t>
            </w:r>
          </w:p>
        </w:tc>
        <w:tc>
          <w:tcPr>
            <w:tcW w:w="600"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$92,235.00</w:t>
            </w:r>
          </w:p>
        </w:tc>
        <w:tc>
          <w:tcPr>
            <w:tcW w:w="6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$95,030.00</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88"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$279,500.00</w:t>
            </w:r>
          </w:p>
        </w:tc>
      </w:tr>
      <w:tr w:rsidR="004073C0" w:rsidRPr="00032F14" w:rsidTr="00AE6F20">
        <w:trPr>
          <w:trHeight w:val="780"/>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5</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Consolidar la participación de los usuarios y la sociedad organizada en el manejo del agua y promover la cultura del buen uso</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$109,910.00</w:t>
            </w:r>
          </w:p>
        </w:tc>
        <w:tc>
          <w:tcPr>
            <w:tcW w:w="600"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$116,208.00</w:t>
            </w:r>
          </w:p>
        </w:tc>
        <w:tc>
          <w:tcPr>
            <w:tcW w:w="6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$94,749.00</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88"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$320,866.00</w:t>
            </w:r>
          </w:p>
        </w:tc>
      </w:tr>
      <w:tr w:rsidR="004073C0" w:rsidRPr="00032F14" w:rsidTr="00AE6F20">
        <w:trPr>
          <w:trHeight w:val="525"/>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6</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Prevenir los riesgos derivados de los fenómenos meteorológicos e hidrometeorológicos y atender sus efectos</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600"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6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44"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$22,000.00</w:t>
            </w:r>
          </w:p>
        </w:tc>
        <w:tc>
          <w:tcPr>
            <w:tcW w:w="588" w:type="pct"/>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$22,000.00</w:t>
            </w:r>
          </w:p>
        </w:tc>
      </w:tr>
      <w:tr w:rsidR="004073C0" w:rsidRPr="00032F14" w:rsidTr="00AE6F20">
        <w:trPr>
          <w:trHeight w:val="525"/>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7</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Evaluar los efectos del cambio climático e hidrológico global y local</w:t>
            </w:r>
          </w:p>
        </w:tc>
        <w:tc>
          <w:tcPr>
            <w:tcW w:w="544" w:type="pct"/>
            <w:tcBorders>
              <w:bottom w:val="nil"/>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600" w:type="pct"/>
            <w:tcBorders>
              <w:bottom w:val="nil"/>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644" w:type="pct"/>
            <w:tcBorders>
              <w:bottom w:val="nil"/>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44" w:type="pct"/>
            <w:tcBorders>
              <w:bottom w:val="nil"/>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$5,600.00</w:t>
            </w:r>
          </w:p>
        </w:tc>
        <w:tc>
          <w:tcPr>
            <w:tcW w:w="588" w:type="pct"/>
            <w:tcBorders>
              <w:bottom w:val="nil"/>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$5,600.00</w:t>
            </w:r>
          </w:p>
        </w:tc>
      </w:tr>
      <w:tr w:rsidR="004073C0" w:rsidRPr="00032F14" w:rsidTr="00AE6F20">
        <w:trPr>
          <w:trHeight w:val="525"/>
        </w:trPr>
        <w:tc>
          <w:tcPr>
            <w:tcW w:w="129" w:type="pct"/>
            <w:shd w:val="clear" w:color="auto" w:fill="auto"/>
            <w:noWrap/>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8</w:t>
            </w:r>
          </w:p>
        </w:tc>
        <w:tc>
          <w:tcPr>
            <w:tcW w:w="1952"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Crear una cultura contributiva y de cumplimiento a la LAN en materia administrativa</w:t>
            </w:r>
          </w:p>
        </w:tc>
        <w:tc>
          <w:tcPr>
            <w:tcW w:w="544" w:type="pct"/>
            <w:tcBorders>
              <w:top w:val="nil"/>
              <w:bottom w:val="single" w:sz="4" w:space="0" w:color="auto"/>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600" w:type="pct"/>
            <w:tcBorders>
              <w:top w:val="nil"/>
              <w:bottom w:val="single" w:sz="4" w:space="0" w:color="auto"/>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644" w:type="pct"/>
            <w:tcBorders>
              <w:top w:val="nil"/>
              <w:bottom w:val="single" w:sz="4" w:space="0" w:color="auto"/>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w:t>
            </w:r>
          </w:p>
        </w:tc>
        <w:tc>
          <w:tcPr>
            <w:tcW w:w="544" w:type="pct"/>
            <w:tcBorders>
              <w:top w:val="nil"/>
              <w:bottom w:val="single" w:sz="4" w:space="0" w:color="auto"/>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$17,890.00</w:t>
            </w:r>
          </w:p>
        </w:tc>
        <w:tc>
          <w:tcPr>
            <w:tcW w:w="588" w:type="pct"/>
            <w:tcBorders>
              <w:top w:val="nil"/>
              <w:bottom w:val="single" w:sz="4" w:space="0" w:color="auto"/>
            </w:tcBorders>
            <w:shd w:val="clear" w:color="auto" w:fill="auto"/>
            <w:noWrap/>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$17,890.00</w:t>
            </w:r>
          </w:p>
        </w:tc>
      </w:tr>
      <w:tr w:rsidR="004073C0" w:rsidRPr="00032F14" w:rsidTr="00AE6F20">
        <w:trPr>
          <w:trHeight w:val="255"/>
        </w:trPr>
        <w:tc>
          <w:tcPr>
            <w:tcW w:w="129" w:type="pct"/>
            <w:shd w:val="clear" w:color="auto" w:fill="auto"/>
            <w:noWrap/>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 </w:t>
            </w:r>
          </w:p>
        </w:tc>
        <w:tc>
          <w:tcPr>
            <w:tcW w:w="1952" w:type="pct"/>
            <w:shd w:val="clear" w:color="auto" w:fill="auto"/>
            <w:noWrap/>
            <w:hideMark/>
          </w:tcPr>
          <w:p w:rsidR="004073C0" w:rsidRPr="00032F14" w:rsidRDefault="004073C0" w:rsidP="00AE6F20">
            <w:pPr>
              <w:spacing w:before="20" w:after="20" w:line="240" w:lineRule="auto"/>
              <w:ind w:firstLine="0"/>
              <w:jc w:val="center"/>
              <w:rPr>
                <w:rFonts w:eastAsia="Times New Roman" w:cs="Arial"/>
                <w:bCs/>
                <w:sz w:val="20"/>
                <w:lang w:eastAsia="es-MX"/>
              </w:rPr>
            </w:pPr>
            <w:r w:rsidRPr="00032F14">
              <w:rPr>
                <w:rFonts w:eastAsia="Times New Roman" w:cs="Arial"/>
                <w:bCs/>
                <w:sz w:val="20"/>
                <w:lang w:eastAsia="es-MX"/>
              </w:rPr>
              <w:t>Total General</w:t>
            </w:r>
          </w:p>
        </w:tc>
        <w:tc>
          <w:tcPr>
            <w:tcW w:w="544" w:type="pct"/>
            <w:tcBorders>
              <w:top w:val="single" w:sz="4" w:space="0" w:color="auto"/>
            </w:tcBorders>
            <w:shd w:val="clear" w:color="auto" w:fill="auto"/>
            <w:noWrap/>
            <w:hideMark/>
          </w:tcPr>
          <w:p w:rsidR="004073C0" w:rsidRPr="00032F14" w:rsidRDefault="004073C0" w:rsidP="00AE6F20">
            <w:pPr>
              <w:spacing w:before="20" w:after="20" w:line="240" w:lineRule="auto"/>
              <w:ind w:firstLine="0"/>
              <w:jc w:val="right"/>
              <w:rPr>
                <w:rFonts w:eastAsia="Times New Roman" w:cs="Arial"/>
                <w:bCs/>
                <w:sz w:val="20"/>
                <w:lang w:eastAsia="es-MX"/>
              </w:rPr>
            </w:pPr>
            <w:r w:rsidRPr="00032F14">
              <w:rPr>
                <w:rFonts w:eastAsia="Times New Roman" w:cs="Arial"/>
                <w:bCs/>
                <w:sz w:val="20"/>
                <w:lang w:eastAsia="es-MX"/>
              </w:rPr>
              <w:t>$863,596.00</w:t>
            </w:r>
          </w:p>
        </w:tc>
        <w:tc>
          <w:tcPr>
            <w:tcW w:w="600" w:type="pct"/>
            <w:tcBorders>
              <w:top w:val="single" w:sz="4" w:space="0" w:color="auto"/>
            </w:tcBorders>
            <w:shd w:val="clear" w:color="auto" w:fill="auto"/>
            <w:noWrap/>
            <w:hideMark/>
          </w:tcPr>
          <w:p w:rsidR="004073C0" w:rsidRPr="00032F14" w:rsidRDefault="004073C0" w:rsidP="00AE6F20">
            <w:pPr>
              <w:spacing w:before="20" w:after="20" w:line="240" w:lineRule="auto"/>
              <w:ind w:firstLine="0"/>
              <w:jc w:val="right"/>
              <w:rPr>
                <w:rFonts w:eastAsia="Times New Roman" w:cs="Arial"/>
                <w:bCs/>
                <w:sz w:val="20"/>
                <w:lang w:eastAsia="es-MX"/>
              </w:rPr>
            </w:pPr>
            <w:r w:rsidRPr="00032F14">
              <w:rPr>
                <w:rFonts w:eastAsia="Times New Roman" w:cs="Arial"/>
                <w:bCs/>
                <w:sz w:val="20"/>
                <w:lang w:eastAsia="es-MX"/>
              </w:rPr>
              <w:t>$1,306,868.00</w:t>
            </w:r>
          </w:p>
        </w:tc>
        <w:tc>
          <w:tcPr>
            <w:tcW w:w="644" w:type="pct"/>
            <w:tcBorders>
              <w:top w:val="single" w:sz="4" w:space="0" w:color="auto"/>
            </w:tcBorders>
            <w:shd w:val="clear" w:color="auto" w:fill="auto"/>
            <w:noWrap/>
            <w:hideMark/>
          </w:tcPr>
          <w:p w:rsidR="004073C0" w:rsidRPr="00032F14" w:rsidRDefault="004073C0" w:rsidP="00AE6F20">
            <w:pPr>
              <w:spacing w:before="20" w:after="20" w:line="240" w:lineRule="auto"/>
              <w:ind w:firstLine="0"/>
              <w:jc w:val="right"/>
              <w:rPr>
                <w:rFonts w:eastAsia="Times New Roman" w:cs="Arial"/>
                <w:bCs/>
                <w:sz w:val="20"/>
                <w:lang w:eastAsia="es-MX"/>
              </w:rPr>
            </w:pPr>
            <w:r w:rsidRPr="00032F14">
              <w:rPr>
                <w:rFonts w:eastAsia="Times New Roman" w:cs="Arial"/>
                <w:bCs/>
                <w:sz w:val="20"/>
                <w:lang w:eastAsia="es-MX"/>
              </w:rPr>
              <w:t>$517,736.00</w:t>
            </w:r>
          </w:p>
        </w:tc>
        <w:tc>
          <w:tcPr>
            <w:tcW w:w="544" w:type="pct"/>
            <w:tcBorders>
              <w:top w:val="single" w:sz="4" w:space="0" w:color="auto"/>
            </w:tcBorders>
            <w:shd w:val="clear" w:color="auto" w:fill="auto"/>
            <w:noWrap/>
            <w:hideMark/>
          </w:tcPr>
          <w:p w:rsidR="004073C0" w:rsidRPr="00032F14" w:rsidRDefault="004073C0" w:rsidP="00AE6F20">
            <w:pPr>
              <w:spacing w:before="20" w:after="20" w:line="240" w:lineRule="auto"/>
              <w:ind w:firstLine="0"/>
              <w:jc w:val="right"/>
              <w:rPr>
                <w:rFonts w:eastAsia="Times New Roman" w:cs="Arial"/>
                <w:bCs/>
                <w:sz w:val="20"/>
                <w:lang w:eastAsia="es-MX"/>
              </w:rPr>
            </w:pPr>
            <w:r w:rsidRPr="00032F14">
              <w:rPr>
                <w:rFonts w:eastAsia="Times New Roman" w:cs="Arial"/>
                <w:bCs/>
                <w:sz w:val="20"/>
                <w:lang w:eastAsia="es-MX"/>
              </w:rPr>
              <w:t>$508,098.0</w:t>
            </w:r>
          </w:p>
        </w:tc>
        <w:tc>
          <w:tcPr>
            <w:tcW w:w="588" w:type="pct"/>
            <w:tcBorders>
              <w:top w:val="single" w:sz="4" w:space="0" w:color="auto"/>
            </w:tcBorders>
            <w:shd w:val="clear" w:color="auto" w:fill="auto"/>
            <w:noWrap/>
            <w:hideMark/>
          </w:tcPr>
          <w:p w:rsidR="004073C0" w:rsidRPr="00032F14" w:rsidRDefault="004073C0" w:rsidP="00AE6F20">
            <w:pPr>
              <w:spacing w:before="20" w:after="20" w:line="240" w:lineRule="auto"/>
              <w:ind w:firstLine="0"/>
              <w:jc w:val="right"/>
              <w:rPr>
                <w:rFonts w:eastAsia="Times New Roman" w:cs="Arial"/>
                <w:bCs/>
                <w:sz w:val="20"/>
                <w:lang w:eastAsia="es-MX"/>
              </w:rPr>
            </w:pPr>
            <w:r w:rsidRPr="00032F14">
              <w:rPr>
                <w:rFonts w:eastAsia="Times New Roman" w:cs="Arial"/>
                <w:bCs/>
                <w:sz w:val="20"/>
                <w:lang w:eastAsia="es-MX"/>
              </w:rPr>
              <w:t>$3,196,359.00</w:t>
            </w:r>
          </w:p>
        </w:tc>
      </w:tr>
    </w:tbl>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Pr="001A7174" w:rsidRDefault="004073C0" w:rsidP="008011C2">
      <w:pPr>
        <w:pStyle w:val="Tabla1cap12"/>
        <w:ind w:left="56" w:firstLine="10"/>
        <w:outlineLvl w:val="0"/>
        <w:rPr>
          <w:lang w:val="es-MX"/>
        </w:rPr>
      </w:pPr>
      <w:bookmarkStart w:id="218" w:name="_Toc274661352"/>
      <w:r w:rsidRPr="001A7174">
        <w:rPr>
          <w:lang w:val="es-MX"/>
        </w:rPr>
        <w:t>Inversión para el manejo integrado del acuífero Huamantla – Libres Oriental – Perote, por periodo (miles $).</w:t>
      </w:r>
      <w:bookmarkEnd w:id="218"/>
    </w:p>
    <w:tbl>
      <w:tblPr>
        <w:tblW w:w="5001" w:type="pct"/>
        <w:tblBorders>
          <w:top w:val="single" w:sz="12" w:space="0" w:color="008000"/>
          <w:bottom w:val="single" w:sz="12" w:space="0" w:color="008000"/>
        </w:tblBorders>
        <w:tblLook w:val="04A0"/>
      </w:tblPr>
      <w:tblGrid>
        <w:gridCol w:w="535"/>
        <w:gridCol w:w="6804"/>
        <w:gridCol w:w="1559"/>
        <w:gridCol w:w="1321"/>
        <w:gridCol w:w="1220"/>
        <w:gridCol w:w="1218"/>
      </w:tblGrid>
      <w:tr w:rsidR="004073C0" w:rsidRPr="00032F14" w:rsidTr="00AE6F20">
        <w:trPr>
          <w:trHeight w:val="20"/>
          <w:tblHeader/>
        </w:trPr>
        <w:tc>
          <w:tcPr>
            <w:tcW w:w="211" w:type="pct"/>
            <w:tcBorders>
              <w:bottom w:val="single" w:sz="6" w:space="0" w:color="008000"/>
            </w:tcBorders>
            <w:vAlign w:val="center"/>
          </w:tcPr>
          <w:p w:rsidR="004073C0" w:rsidRPr="00032F14" w:rsidRDefault="004073C0" w:rsidP="00AE6F20">
            <w:pPr>
              <w:spacing w:before="20" w:after="20" w:line="240" w:lineRule="auto"/>
              <w:ind w:firstLine="0"/>
              <w:jc w:val="center"/>
              <w:rPr>
                <w:rFonts w:eastAsia="Times New Roman" w:cs="Arial"/>
                <w:sz w:val="20"/>
                <w:lang w:eastAsia="es-MX"/>
              </w:rPr>
            </w:pPr>
          </w:p>
        </w:tc>
        <w:tc>
          <w:tcPr>
            <w:tcW w:w="2688" w:type="pct"/>
            <w:tcBorders>
              <w:bottom w:val="single" w:sz="6" w:space="0" w:color="008000"/>
            </w:tcBorders>
            <w:shd w:val="clear" w:color="auto" w:fill="auto"/>
            <w:vAlign w:val="center"/>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Objetivo</w:t>
            </w:r>
          </w:p>
        </w:tc>
        <w:tc>
          <w:tcPr>
            <w:tcW w:w="616" w:type="pct"/>
            <w:tcBorders>
              <w:bottom w:val="single" w:sz="6" w:space="0" w:color="008000"/>
            </w:tcBorders>
            <w:shd w:val="clear" w:color="auto" w:fill="auto"/>
            <w:vAlign w:val="center"/>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2011-2012</w:t>
            </w:r>
          </w:p>
        </w:tc>
        <w:tc>
          <w:tcPr>
            <w:tcW w:w="522" w:type="pct"/>
            <w:tcBorders>
              <w:bottom w:val="single" w:sz="6" w:space="0" w:color="008000"/>
            </w:tcBorders>
            <w:shd w:val="clear" w:color="auto" w:fill="auto"/>
            <w:vAlign w:val="center"/>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2013-2018</w:t>
            </w:r>
          </w:p>
        </w:tc>
        <w:tc>
          <w:tcPr>
            <w:tcW w:w="482" w:type="pct"/>
            <w:tcBorders>
              <w:bottom w:val="single" w:sz="6" w:space="0" w:color="008000"/>
            </w:tcBorders>
            <w:shd w:val="clear" w:color="auto" w:fill="auto"/>
            <w:vAlign w:val="center"/>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2019-2040</w:t>
            </w:r>
          </w:p>
        </w:tc>
        <w:tc>
          <w:tcPr>
            <w:tcW w:w="481" w:type="pct"/>
            <w:tcBorders>
              <w:bottom w:val="single" w:sz="6" w:space="0" w:color="008000"/>
            </w:tcBorders>
            <w:shd w:val="clear" w:color="auto" w:fill="auto"/>
            <w:vAlign w:val="center"/>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Total</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1</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 xml:space="preserve">Mejorar la productividad del agua en el sector agrícola </w:t>
            </w:r>
          </w:p>
        </w:tc>
        <w:tc>
          <w:tcPr>
            <w:tcW w:w="616"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$68,899 </w:t>
            </w:r>
          </w:p>
        </w:tc>
        <w:tc>
          <w:tcPr>
            <w:tcW w:w="52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$249,948 </w:t>
            </w:r>
          </w:p>
        </w:tc>
        <w:tc>
          <w:tcPr>
            <w:tcW w:w="48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$896,317 </w:t>
            </w:r>
          </w:p>
        </w:tc>
        <w:tc>
          <w:tcPr>
            <w:tcW w:w="481"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$1,260,164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2</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Incrementar el acceso y la calidad de los servicios de agua potable, alcantarillado y saneamiento</w:t>
            </w:r>
          </w:p>
        </w:tc>
        <w:tc>
          <w:tcPr>
            <w:tcW w:w="616"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$200,227 </w:t>
            </w:r>
          </w:p>
        </w:tc>
        <w:tc>
          <w:tcPr>
            <w:tcW w:w="52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$333,796 </w:t>
            </w:r>
          </w:p>
        </w:tc>
        <w:tc>
          <w:tcPr>
            <w:tcW w:w="48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$380,315 </w:t>
            </w:r>
          </w:p>
        </w:tc>
        <w:tc>
          <w:tcPr>
            <w:tcW w:w="481"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$914,339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3</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 xml:space="preserve">Promover el manejo integrado del agua en cuencas y acuíferos </w:t>
            </w:r>
          </w:p>
        </w:tc>
        <w:tc>
          <w:tcPr>
            <w:tcW w:w="616"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$25,066 </w:t>
            </w:r>
          </w:p>
        </w:tc>
        <w:tc>
          <w:tcPr>
            <w:tcW w:w="52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$72,500 </w:t>
            </w:r>
          </w:p>
        </w:tc>
        <w:tc>
          <w:tcPr>
            <w:tcW w:w="48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$275,733 </w:t>
            </w:r>
          </w:p>
        </w:tc>
        <w:tc>
          <w:tcPr>
            <w:tcW w:w="481"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$376,000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4</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 xml:space="preserve">Mejorar el desarrollo técnico, administrativo y financiero del sector hidráulico </w:t>
            </w:r>
          </w:p>
        </w:tc>
        <w:tc>
          <w:tcPr>
            <w:tcW w:w="616"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$18,633 </w:t>
            </w:r>
          </w:p>
        </w:tc>
        <w:tc>
          <w:tcPr>
            <w:tcW w:w="52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$55,900 </w:t>
            </w:r>
          </w:p>
        </w:tc>
        <w:tc>
          <w:tcPr>
            <w:tcW w:w="48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$204,967 </w:t>
            </w:r>
          </w:p>
        </w:tc>
        <w:tc>
          <w:tcPr>
            <w:tcW w:w="481"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$279,500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5</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Consolidar la participación de los usuarios y la sociedad organizada en el manejo del agua y promover la cultura del buen uso</w:t>
            </w:r>
          </w:p>
        </w:tc>
        <w:tc>
          <w:tcPr>
            <w:tcW w:w="616"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$21,391 </w:t>
            </w:r>
          </w:p>
        </w:tc>
        <w:tc>
          <w:tcPr>
            <w:tcW w:w="52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$65,373 </w:t>
            </w:r>
          </w:p>
        </w:tc>
        <w:tc>
          <w:tcPr>
            <w:tcW w:w="48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$234,102 </w:t>
            </w:r>
          </w:p>
        </w:tc>
        <w:tc>
          <w:tcPr>
            <w:tcW w:w="481"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$320,866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6</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Prevenir los riesgos derivados de los fenómenos meteorológicos e hidrometeorológicos y atender sus efectos</w:t>
            </w:r>
          </w:p>
        </w:tc>
        <w:tc>
          <w:tcPr>
            <w:tcW w:w="616"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$3,596 </w:t>
            </w:r>
          </w:p>
        </w:tc>
        <w:tc>
          <w:tcPr>
            <w:tcW w:w="52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$4,388 </w:t>
            </w:r>
          </w:p>
        </w:tc>
        <w:tc>
          <w:tcPr>
            <w:tcW w:w="482"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$14,016 </w:t>
            </w:r>
          </w:p>
        </w:tc>
        <w:tc>
          <w:tcPr>
            <w:tcW w:w="481" w:type="pct"/>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$22,000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7</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Evaluar los efectos del cambio climático e hidrológico global y local</w:t>
            </w:r>
          </w:p>
        </w:tc>
        <w:tc>
          <w:tcPr>
            <w:tcW w:w="616" w:type="pct"/>
            <w:tcBorders>
              <w:bottom w:val="nil"/>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$4,450 </w:t>
            </w:r>
          </w:p>
        </w:tc>
        <w:tc>
          <w:tcPr>
            <w:tcW w:w="522" w:type="pct"/>
            <w:tcBorders>
              <w:bottom w:val="nil"/>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$100 </w:t>
            </w:r>
          </w:p>
        </w:tc>
        <w:tc>
          <w:tcPr>
            <w:tcW w:w="482" w:type="pct"/>
            <w:tcBorders>
              <w:bottom w:val="nil"/>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$1,050 </w:t>
            </w:r>
          </w:p>
        </w:tc>
        <w:tc>
          <w:tcPr>
            <w:tcW w:w="481" w:type="pct"/>
            <w:tcBorders>
              <w:bottom w:val="nil"/>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$5,600 </w:t>
            </w:r>
          </w:p>
        </w:tc>
      </w:tr>
      <w:tr w:rsidR="004073C0" w:rsidRPr="00032F14" w:rsidTr="00AE6F20">
        <w:trPr>
          <w:trHeight w:val="20"/>
        </w:trPr>
        <w:tc>
          <w:tcPr>
            <w:tcW w:w="211" w:type="pct"/>
            <w:vAlign w:val="center"/>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8</w:t>
            </w:r>
          </w:p>
        </w:tc>
        <w:tc>
          <w:tcPr>
            <w:tcW w:w="2688" w:type="pct"/>
            <w:shd w:val="clear" w:color="auto" w:fill="auto"/>
            <w:hideMark/>
          </w:tcPr>
          <w:p w:rsidR="004073C0" w:rsidRPr="00032F14" w:rsidRDefault="004073C0" w:rsidP="00AE6F20">
            <w:pPr>
              <w:spacing w:before="20" w:after="20" w:line="240" w:lineRule="auto"/>
              <w:ind w:firstLine="0"/>
              <w:jc w:val="left"/>
              <w:rPr>
                <w:rFonts w:eastAsia="Times New Roman" w:cs="Arial"/>
                <w:sz w:val="20"/>
                <w:lang w:eastAsia="es-MX"/>
              </w:rPr>
            </w:pPr>
            <w:r w:rsidRPr="00032F14">
              <w:rPr>
                <w:rFonts w:eastAsia="Times New Roman" w:cs="Arial"/>
                <w:sz w:val="20"/>
                <w:lang w:eastAsia="es-MX"/>
              </w:rPr>
              <w:t>Crear una cultura contributiva y de cumplimiento a la LAN en materia administrativa</w:t>
            </w:r>
          </w:p>
        </w:tc>
        <w:tc>
          <w:tcPr>
            <w:tcW w:w="616" w:type="pct"/>
            <w:tcBorders>
              <w:top w:val="nil"/>
              <w:bottom w:val="single" w:sz="4" w:space="0" w:color="auto"/>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$3,578 </w:t>
            </w:r>
          </w:p>
        </w:tc>
        <w:tc>
          <w:tcPr>
            <w:tcW w:w="522" w:type="pct"/>
            <w:tcBorders>
              <w:top w:val="nil"/>
              <w:bottom w:val="single" w:sz="4" w:space="0" w:color="auto"/>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$3,578 </w:t>
            </w:r>
          </w:p>
        </w:tc>
        <w:tc>
          <w:tcPr>
            <w:tcW w:w="482" w:type="pct"/>
            <w:tcBorders>
              <w:top w:val="nil"/>
              <w:bottom w:val="single" w:sz="4" w:space="0" w:color="auto"/>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$10,734 </w:t>
            </w:r>
          </w:p>
        </w:tc>
        <w:tc>
          <w:tcPr>
            <w:tcW w:w="481" w:type="pct"/>
            <w:tcBorders>
              <w:top w:val="nil"/>
              <w:bottom w:val="single" w:sz="4" w:space="0" w:color="auto"/>
            </w:tcBorders>
            <w:shd w:val="clear" w:color="auto" w:fill="auto"/>
            <w:vAlign w:val="center"/>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$17,890 </w:t>
            </w:r>
          </w:p>
        </w:tc>
      </w:tr>
      <w:tr w:rsidR="004073C0" w:rsidRPr="00032F14" w:rsidTr="00AE6F20">
        <w:trPr>
          <w:trHeight w:val="20"/>
        </w:trPr>
        <w:tc>
          <w:tcPr>
            <w:tcW w:w="211" w:type="pct"/>
          </w:tcPr>
          <w:p w:rsidR="004073C0" w:rsidRPr="00032F14" w:rsidRDefault="004073C0" w:rsidP="00AE6F20">
            <w:pPr>
              <w:spacing w:before="20" w:after="20" w:line="240" w:lineRule="auto"/>
              <w:ind w:firstLine="0"/>
              <w:jc w:val="right"/>
              <w:rPr>
                <w:rFonts w:eastAsia="Times New Roman" w:cs="Arial"/>
                <w:sz w:val="20"/>
                <w:lang w:eastAsia="es-MX"/>
              </w:rPr>
            </w:pPr>
          </w:p>
        </w:tc>
        <w:tc>
          <w:tcPr>
            <w:tcW w:w="2688" w:type="pct"/>
            <w:shd w:val="clear" w:color="auto" w:fill="auto"/>
            <w:hideMark/>
          </w:tcPr>
          <w:p w:rsidR="004073C0" w:rsidRPr="00032F14" w:rsidRDefault="004073C0" w:rsidP="00AE6F20">
            <w:pPr>
              <w:spacing w:before="20" w:after="20" w:line="240" w:lineRule="auto"/>
              <w:ind w:firstLine="0"/>
              <w:jc w:val="center"/>
              <w:rPr>
                <w:rFonts w:eastAsia="Times New Roman" w:cs="Arial"/>
                <w:sz w:val="20"/>
                <w:lang w:eastAsia="es-MX"/>
              </w:rPr>
            </w:pPr>
            <w:r w:rsidRPr="00032F14">
              <w:rPr>
                <w:rFonts w:eastAsia="Times New Roman" w:cs="Arial"/>
                <w:sz w:val="20"/>
                <w:lang w:eastAsia="es-MX"/>
              </w:rPr>
              <w:t>Total General</w:t>
            </w:r>
          </w:p>
        </w:tc>
        <w:tc>
          <w:tcPr>
            <w:tcW w:w="616" w:type="pct"/>
            <w:tcBorders>
              <w:top w:val="single" w:sz="4" w:space="0" w:color="auto"/>
            </w:tcBorders>
            <w:shd w:val="clear" w:color="auto" w:fill="auto"/>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$345,841 </w:t>
            </w:r>
          </w:p>
        </w:tc>
        <w:tc>
          <w:tcPr>
            <w:tcW w:w="522" w:type="pct"/>
            <w:tcBorders>
              <w:top w:val="single" w:sz="4" w:space="0" w:color="auto"/>
            </w:tcBorders>
            <w:shd w:val="clear" w:color="auto" w:fill="auto"/>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$833,283 </w:t>
            </w:r>
          </w:p>
        </w:tc>
        <w:tc>
          <w:tcPr>
            <w:tcW w:w="482" w:type="pct"/>
            <w:tcBorders>
              <w:top w:val="single" w:sz="4" w:space="0" w:color="auto"/>
            </w:tcBorders>
            <w:shd w:val="clear" w:color="auto" w:fill="auto"/>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$2,017,234 </w:t>
            </w:r>
          </w:p>
        </w:tc>
        <w:tc>
          <w:tcPr>
            <w:tcW w:w="481" w:type="pct"/>
            <w:tcBorders>
              <w:top w:val="single" w:sz="4" w:space="0" w:color="auto"/>
            </w:tcBorders>
            <w:shd w:val="clear" w:color="auto" w:fill="auto"/>
            <w:hideMark/>
          </w:tcPr>
          <w:p w:rsidR="004073C0" w:rsidRPr="00032F14" w:rsidRDefault="004073C0" w:rsidP="00AE6F20">
            <w:pPr>
              <w:spacing w:before="20" w:after="20" w:line="240" w:lineRule="auto"/>
              <w:ind w:firstLine="0"/>
              <w:jc w:val="right"/>
              <w:rPr>
                <w:rFonts w:eastAsia="Times New Roman" w:cs="Arial"/>
                <w:sz w:val="20"/>
                <w:lang w:eastAsia="es-MX"/>
              </w:rPr>
            </w:pPr>
            <w:r w:rsidRPr="00032F14">
              <w:rPr>
                <w:rFonts w:eastAsia="Times New Roman" w:cs="Arial"/>
                <w:sz w:val="20"/>
                <w:lang w:eastAsia="es-MX"/>
              </w:rPr>
              <w:t xml:space="preserve">$3,196,359 </w:t>
            </w:r>
          </w:p>
        </w:tc>
      </w:tr>
    </w:tbl>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Pr>
        <w:pStyle w:val="Tabla1cap12"/>
        <w:ind w:left="56" w:firstLine="10"/>
        <w:rPr>
          <w:lang w:val="es-MX"/>
        </w:rPr>
      </w:pPr>
      <w:bookmarkStart w:id="219" w:name="_Toc274661353"/>
      <w:r w:rsidRPr="001A7174">
        <w:rPr>
          <w:lang w:val="es-MX"/>
        </w:rPr>
        <w:lastRenderedPageBreak/>
        <w:t>Inversión total estimada para el Objetivo 1, por acuífero (miles de $).</w:t>
      </w:r>
      <w:bookmarkEnd w:id="219"/>
    </w:p>
    <w:tbl>
      <w:tblPr>
        <w:tblW w:w="5000" w:type="pct"/>
        <w:tblBorders>
          <w:top w:val="single" w:sz="12" w:space="0" w:color="008000"/>
          <w:bottom w:val="single" w:sz="12" w:space="0" w:color="008000"/>
        </w:tblBorders>
        <w:tblLayout w:type="fixed"/>
        <w:tblLook w:val="04A0"/>
      </w:tblPr>
      <w:tblGrid>
        <w:gridCol w:w="675"/>
        <w:gridCol w:w="5244"/>
        <w:gridCol w:w="1559"/>
        <w:gridCol w:w="1701"/>
        <w:gridCol w:w="1845"/>
        <w:gridCol w:w="1630"/>
      </w:tblGrid>
      <w:tr w:rsidR="004073C0" w:rsidRPr="00C25AFF" w:rsidTr="00AE6F20">
        <w:trPr>
          <w:trHeight w:val="255"/>
        </w:trPr>
        <w:tc>
          <w:tcPr>
            <w:tcW w:w="267" w:type="pct"/>
            <w:tcBorders>
              <w:bottom w:val="single" w:sz="6" w:space="0" w:color="008000"/>
            </w:tcBorders>
            <w:shd w:val="clear" w:color="auto" w:fill="auto"/>
          </w:tcPr>
          <w:p w:rsidR="004073C0" w:rsidRPr="00C25AFF" w:rsidRDefault="004073C0" w:rsidP="00AE6F20">
            <w:pPr>
              <w:spacing w:before="20" w:after="20" w:line="240" w:lineRule="auto"/>
              <w:ind w:firstLine="0"/>
              <w:jc w:val="center"/>
              <w:rPr>
                <w:rFonts w:eastAsia="Times New Roman" w:cs="Arial"/>
                <w:bCs/>
                <w:sz w:val="20"/>
                <w:lang w:eastAsia="es-MX"/>
              </w:rPr>
            </w:pPr>
            <w:r w:rsidRPr="00C25AFF">
              <w:rPr>
                <w:rFonts w:eastAsia="Times New Roman" w:cs="Arial"/>
                <w:bCs/>
                <w:sz w:val="20"/>
                <w:lang w:eastAsia="es-MX"/>
              </w:rPr>
              <w:t>No</w:t>
            </w:r>
          </w:p>
        </w:tc>
        <w:tc>
          <w:tcPr>
            <w:tcW w:w="2072"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Cs/>
                <w:sz w:val="20"/>
                <w:lang w:eastAsia="es-MX"/>
              </w:rPr>
            </w:pPr>
            <w:r w:rsidRPr="00C25AFF">
              <w:rPr>
                <w:rFonts w:eastAsia="Times New Roman" w:cs="Arial"/>
                <w:bCs/>
                <w:sz w:val="20"/>
                <w:lang w:eastAsia="es-MX"/>
              </w:rPr>
              <w:t>Descripción</w:t>
            </w:r>
          </w:p>
        </w:tc>
        <w:tc>
          <w:tcPr>
            <w:tcW w:w="616"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Cs/>
                <w:sz w:val="20"/>
                <w:lang w:eastAsia="es-MX"/>
              </w:rPr>
            </w:pPr>
            <w:r w:rsidRPr="00C25AFF">
              <w:rPr>
                <w:rFonts w:eastAsia="Times New Roman" w:cs="Arial"/>
                <w:bCs/>
                <w:sz w:val="20"/>
                <w:lang w:eastAsia="es-MX"/>
              </w:rPr>
              <w:t>Huamantla</w:t>
            </w:r>
          </w:p>
        </w:tc>
        <w:tc>
          <w:tcPr>
            <w:tcW w:w="672"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Cs/>
                <w:sz w:val="20"/>
                <w:lang w:eastAsia="es-MX"/>
              </w:rPr>
            </w:pPr>
            <w:r w:rsidRPr="00C25AFF">
              <w:rPr>
                <w:rFonts w:eastAsia="Times New Roman" w:cs="Arial"/>
                <w:bCs/>
                <w:sz w:val="20"/>
                <w:lang w:eastAsia="es-MX"/>
              </w:rPr>
              <w:t>Libres-Oriental</w:t>
            </w:r>
          </w:p>
        </w:tc>
        <w:tc>
          <w:tcPr>
            <w:tcW w:w="729"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Cs/>
                <w:sz w:val="20"/>
                <w:lang w:eastAsia="es-MX"/>
              </w:rPr>
            </w:pPr>
            <w:r w:rsidRPr="00C25AFF">
              <w:rPr>
                <w:rFonts w:eastAsia="Times New Roman" w:cs="Arial"/>
                <w:bCs/>
                <w:sz w:val="20"/>
                <w:lang w:eastAsia="es-MX"/>
              </w:rPr>
              <w:t>Perote-Zalayeta</w:t>
            </w:r>
          </w:p>
        </w:tc>
        <w:tc>
          <w:tcPr>
            <w:tcW w:w="64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Cs/>
                <w:sz w:val="20"/>
                <w:lang w:eastAsia="es-MX"/>
              </w:rPr>
            </w:pPr>
            <w:r w:rsidRPr="00C25AFF">
              <w:rPr>
                <w:rFonts w:eastAsia="Times New Roman" w:cs="Arial"/>
                <w:bCs/>
                <w:sz w:val="20"/>
                <w:lang w:eastAsia="es-MX"/>
              </w:rPr>
              <w:t>Total</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bCs/>
                <w:sz w:val="20"/>
                <w:lang w:eastAsia="es-MX"/>
              </w:rPr>
            </w:pPr>
            <w:r w:rsidRPr="00C25AFF">
              <w:rPr>
                <w:rFonts w:eastAsia="Times New Roman" w:cs="Arial"/>
                <w:bCs/>
                <w:sz w:val="20"/>
                <w:lang w:eastAsia="es-MX"/>
              </w:rPr>
              <w:t>1</w:t>
            </w: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Diversificación de actividades productivas</w:t>
            </w:r>
          </w:p>
        </w:tc>
        <w:tc>
          <w:tcPr>
            <w:tcW w:w="616" w:type="pct"/>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$15,000.00</w:t>
            </w:r>
          </w:p>
        </w:tc>
        <w:tc>
          <w:tcPr>
            <w:tcW w:w="672" w:type="pct"/>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$15,000.00</w:t>
            </w:r>
          </w:p>
        </w:tc>
        <w:tc>
          <w:tcPr>
            <w:tcW w:w="729" w:type="pct"/>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$15,000.00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$45,000.00</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Ampliación de proyectos rentables con base a las experiencias exitosas en la cuenca</w:t>
            </w:r>
          </w:p>
        </w:tc>
        <w:tc>
          <w:tcPr>
            <w:tcW w:w="61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c>
          <w:tcPr>
            <w:tcW w:w="672"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c>
          <w:tcPr>
            <w:tcW w:w="72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$45,000.00</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2</w:t>
            </w: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sz w:val="20"/>
                <w:lang w:eastAsia="es-MX"/>
              </w:rPr>
            </w:pPr>
            <w:r w:rsidRPr="00C25AFF">
              <w:rPr>
                <w:rFonts w:eastAsia="Times New Roman" w:cs="Arial"/>
                <w:b/>
                <w:sz w:val="20"/>
                <w:lang w:eastAsia="es-MX"/>
              </w:rPr>
              <w:t>Incremento de la productividad agrícola</w:t>
            </w:r>
          </w:p>
        </w:tc>
        <w:tc>
          <w:tcPr>
            <w:tcW w:w="61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$436,640.14</w:t>
            </w:r>
          </w:p>
        </w:tc>
        <w:tc>
          <w:tcPr>
            <w:tcW w:w="672"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$654,164.45</w:t>
            </w:r>
          </w:p>
        </w:tc>
        <w:tc>
          <w:tcPr>
            <w:tcW w:w="72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$124,359.80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$1,215,164.38</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Ampliación de superficies de riego</w:t>
            </w:r>
          </w:p>
        </w:tc>
        <w:tc>
          <w:tcPr>
            <w:tcW w:w="61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72"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72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Construcción de invernaderos</w:t>
            </w:r>
          </w:p>
        </w:tc>
        <w:tc>
          <w:tcPr>
            <w:tcW w:w="616"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6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72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$70,000.00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$70,000.00</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Medición</w:t>
            </w:r>
          </w:p>
        </w:tc>
        <w:tc>
          <w:tcPr>
            <w:tcW w:w="61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$8,579.40</w:t>
            </w:r>
          </w:p>
        </w:tc>
        <w:tc>
          <w:tcPr>
            <w:tcW w:w="672"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$17,158.80</w:t>
            </w:r>
          </w:p>
        </w:tc>
        <w:tc>
          <w:tcPr>
            <w:tcW w:w="72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$2,859.80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$28,598.00</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Modernización de infraestructura hidroagrícola y reconversión de cultivos según las características de suelos y clima</w:t>
            </w:r>
          </w:p>
        </w:tc>
        <w:tc>
          <w:tcPr>
            <w:tcW w:w="616"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$423,860.74</w:t>
            </w:r>
          </w:p>
        </w:tc>
        <w:tc>
          <w:tcPr>
            <w:tcW w:w="672"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$632,805.65</w:t>
            </w:r>
          </w:p>
        </w:tc>
        <w:tc>
          <w:tcPr>
            <w:tcW w:w="729"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4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$1,056,666.38</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Planes Directores</w:t>
            </w:r>
          </w:p>
        </w:tc>
        <w:tc>
          <w:tcPr>
            <w:tcW w:w="616"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$4,200.00</w:t>
            </w:r>
          </w:p>
        </w:tc>
        <w:tc>
          <w:tcPr>
            <w:tcW w:w="672"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$4,200.00</w:t>
            </w:r>
          </w:p>
        </w:tc>
        <w:tc>
          <w:tcPr>
            <w:tcW w:w="729"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$3,500.00</w:t>
            </w:r>
          </w:p>
        </w:tc>
        <w:tc>
          <w:tcPr>
            <w:tcW w:w="644"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$11,900.00</w:t>
            </w:r>
          </w:p>
        </w:tc>
      </w:tr>
      <w:tr w:rsidR="004073C0" w:rsidRPr="00C25AFF" w:rsidTr="00AE6F20">
        <w:trPr>
          <w:trHeight w:val="255"/>
        </w:trPr>
        <w:tc>
          <w:tcPr>
            <w:tcW w:w="267" w:type="pct"/>
            <w:shd w:val="clear" w:color="auto" w:fill="auto"/>
          </w:tcPr>
          <w:p w:rsidR="004073C0" w:rsidRPr="00C25AFF" w:rsidRDefault="004073C0" w:rsidP="00AE6F20">
            <w:pPr>
              <w:spacing w:before="20" w:after="20" w:line="240" w:lineRule="auto"/>
              <w:ind w:firstLine="0"/>
              <w:jc w:val="left"/>
              <w:rPr>
                <w:rFonts w:eastAsia="Times New Roman" w:cs="Arial"/>
                <w:bCs/>
                <w:sz w:val="20"/>
                <w:lang w:eastAsia="es-MX"/>
              </w:rPr>
            </w:pPr>
          </w:p>
        </w:tc>
        <w:tc>
          <w:tcPr>
            <w:tcW w:w="2072" w:type="pct"/>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Total General</w:t>
            </w:r>
          </w:p>
        </w:tc>
        <w:tc>
          <w:tcPr>
            <w:tcW w:w="616"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$451,640.14</w:t>
            </w:r>
          </w:p>
        </w:tc>
        <w:tc>
          <w:tcPr>
            <w:tcW w:w="672"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$669,164.45</w:t>
            </w:r>
          </w:p>
        </w:tc>
        <w:tc>
          <w:tcPr>
            <w:tcW w:w="729"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$139,359.80</w:t>
            </w:r>
          </w:p>
        </w:tc>
        <w:tc>
          <w:tcPr>
            <w:tcW w:w="644"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Cs/>
                <w:sz w:val="20"/>
                <w:lang w:eastAsia="es-MX"/>
              </w:rPr>
            </w:pPr>
            <w:r w:rsidRPr="00C25AFF">
              <w:rPr>
                <w:rFonts w:eastAsia="Times New Roman" w:cs="Arial"/>
                <w:bCs/>
                <w:sz w:val="20"/>
                <w:lang w:eastAsia="es-MX"/>
              </w:rPr>
              <w:t>$1,260,164.38</w:t>
            </w:r>
          </w:p>
        </w:tc>
      </w:tr>
    </w:tbl>
    <w:p w:rsidR="004073C0" w:rsidRDefault="004073C0" w:rsidP="004073C0"/>
    <w:p w:rsidR="004073C0" w:rsidRPr="001A7174" w:rsidRDefault="004073C0" w:rsidP="004073C0">
      <w:pPr>
        <w:pStyle w:val="Tabla1cap12"/>
        <w:ind w:left="56" w:firstLine="10"/>
        <w:rPr>
          <w:lang w:val="es-MX"/>
        </w:rPr>
      </w:pPr>
      <w:bookmarkStart w:id="220" w:name="_Toc274661354"/>
      <w:r w:rsidRPr="001A7174">
        <w:rPr>
          <w:lang w:val="es-MX"/>
        </w:rPr>
        <w:t>Inversión total estimada para el Objetivo 1, por período (miles de $).</w:t>
      </w:r>
      <w:bookmarkEnd w:id="220"/>
    </w:p>
    <w:tbl>
      <w:tblPr>
        <w:tblW w:w="5000" w:type="pct"/>
        <w:tblBorders>
          <w:top w:val="single" w:sz="12" w:space="0" w:color="008000"/>
          <w:bottom w:val="single" w:sz="12" w:space="0" w:color="008000"/>
        </w:tblBorders>
        <w:tblLayout w:type="fixed"/>
        <w:tblLook w:val="04A0"/>
      </w:tblPr>
      <w:tblGrid>
        <w:gridCol w:w="533"/>
        <w:gridCol w:w="6236"/>
        <w:gridCol w:w="1276"/>
        <w:gridCol w:w="1562"/>
        <w:gridCol w:w="1417"/>
        <w:gridCol w:w="1630"/>
      </w:tblGrid>
      <w:tr w:rsidR="004073C0" w:rsidRPr="00C25AFF" w:rsidTr="00AE6F20">
        <w:trPr>
          <w:trHeight w:val="255"/>
        </w:trPr>
        <w:tc>
          <w:tcPr>
            <w:tcW w:w="211" w:type="pct"/>
            <w:tcBorders>
              <w:bottom w:val="single" w:sz="6" w:space="0" w:color="008000"/>
            </w:tcBorders>
            <w:shd w:val="clear" w:color="auto" w:fill="auto"/>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No</w:t>
            </w:r>
          </w:p>
        </w:tc>
        <w:tc>
          <w:tcPr>
            <w:tcW w:w="246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0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2011-2012</w:t>
            </w:r>
          </w:p>
        </w:tc>
        <w:tc>
          <w:tcPr>
            <w:tcW w:w="61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560"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64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1</w:t>
            </w: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Diversificación de actividades productivas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$4,500.00</w:t>
            </w:r>
          </w:p>
        </w:tc>
        <w:tc>
          <w:tcPr>
            <w:tcW w:w="61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$22,500.00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$18,000.00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$45,000.00</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Ampliación de proyectos rentables con base a las experiencias exitosas en la cuenca</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$4,500.00</w:t>
            </w:r>
          </w:p>
        </w:tc>
        <w:tc>
          <w:tcPr>
            <w:tcW w:w="61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$22,500.00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$18,000.00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$45,000.00</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2</w:t>
            </w: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Incremento de la productividad agrícola</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$64,399.20</w:t>
            </w:r>
          </w:p>
        </w:tc>
        <w:tc>
          <w:tcPr>
            <w:tcW w:w="61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$272,448.08</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$878,317.11</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$1,215,164.38</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Ampliación de superficies de riego</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1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$5,316.92</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$42,683.08</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Construcción de invernaderos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1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$70,000.00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$70,000.00</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Medición</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$11,439.20</w:t>
            </w:r>
          </w:p>
        </w:tc>
        <w:tc>
          <w:tcPr>
            <w:tcW w:w="61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$17,158.80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4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$28,598.00</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Modernización de infraestructura hidroagrícola y reconversión de cultivos según las características de suelos y clima</w:t>
            </w:r>
          </w:p>
        </w:tc>
        <w:tc>
          <w:tcPr>
            <w:tcW w:w="50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$48,200.00</w:t>
            </w:r>
          </w:p>
        </w:tc>
        <w:tc>
          <w:tcPr>
            <w:tcW w:w="61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$242,832.35</w:t>
            </w:r>
          </w:p>
        </w:tc>
        <w:tc>
          <w:tcPr>
            <w:tcW w:w="560"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$765,634.03</w:t>
            </w:r>
          </w:p>
        </w:tc>
        <w:tc>
          <w:tcPr>
            <w:tcW w:w="64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$1,056,666.38</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Planes Directores</w:t>
            </w:r>
          </w:p>
        </w:tc>
        <w:tc>
          <w:tcPr>
            <w:tcW w:w="504"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$4,760.00</w:t>
            </w:r>
          </w:p>
        </w:tc>
        <w:tc>
          <w:tcPr>
            <w:tcW w:w="617"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$7,140.00</w:t>
            </w:r>
          </w:p>
        </w:tc>
        <w:tc>
          <w:tcPr>
            <w:tcW w:w="560"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44" w:type="pct"/>
            <w:tcBorders>
              <w:top w:val="nil"/>
              <w:bottom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$11,900.00</w:t>
            </w:r>
          </w:p>
        </w:tc>
      </w:tr>
      <w:tr w:rsidR="004073C0" w:rsidRPr="00C25AFF" w:rsidTr="00AE6F20">
        <w:trPr>
          <w:trHeight w:val="255"/>
        </w:trPr>
        <w:tc>
          <w:tcPr>
            <w:tcW w:w="211" w:type="pct"/>
            <w:shd w:val="clear" w:color="auto" w:fill="auto"/>
          </w:tcPr>
          <w:p w:rsidR="004073C0" w:rsidRPr="00C25AFF" w:rsidRDefault="004073C0" w:rsidP="00AE6F20">
            <w:pPr>
              <w:spacing w:before="20" w:after="20" w:line="240" w:lineRule="auto"/>
              <w:ind w:firstLine="0"/>
              <w:jc w:val="right"/>
              <w:rPr>
                <w:rFonts w:eastAsia="Times New Roman" w:cs="Arial"/>
                <w:b/>
                <w:bCs/>
                <w:sz w:val="20"/>
                <w:lang w:eastAsia="es-MX"/>
              </w:rPr>
            </w:pPr>
          </w:p>
        </w:tc>
        <w:tc>
          <w:tcPr>
            <w:tcW w:w="246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Total General</w:t>
            </w:r>
          </w:p>
        </w:tc>
        <w:tc>
          <w:tcPr>
            <w:tcW w:w="504"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$68,899.20</w:t>
            </w:r>
          </w:p>
        </w:tc>
        <w:tc>
          <w:tcPr>
            <w:tcW w:w="617"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$294,948.08</w:t>
            </w:r>
          </w:p>
        </w:tc>
        <w:tc>
          <w:tcPr>
            <w:tcW w:w="560"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$896,317.11</w:t>
            </w:r>
          </w:p>
        </w:tc>
        <w:tc>
          <w:tcPr>
            <w:tcW w:w="644" w:type="pct"/>
            <w:tcBorders>
              <w:top w:val="single" w:sz="8" w:space="0" w:color="4F6228"/>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$1,260,164.38</w:t>
            </w:r>
          </w:p>
        </w:tc>
      </w:tr>
    </w:tbl>
    <w:p w:rsidR="004073C0" w:rsidRDefault="004073C0" w:rsidP="004073C0"/>
    <w:p w:rsidR="004073C0" w:rsidRDefault="004073C0" w:rsidP="004073C0"/>
    <w:p w:rsidR="004073C0" w:rsidRDefault="004073C0" w:rsidP="004073C0"/>
    <w:p w:rsidR="004073C0" w:rsidRDefault="004073C0" w:rsidP="004073C0"/>
    <w:p w:rsidR="004073C0" w:rsidRPr="001A7174" w:rsidRDefault="004073C0" w:rsidP="004073C0">
      <w:pPr>
        <w:pStyle w:val="Tabla1cap12"/>
        <w:ind w:left="56" w:firstLine="10"/>
        <w:rPr>
          <w:lang w:val="es-MX"/>
        </w:rPr>
      </w:pPr>
      <w:bookmarkStart w:id="221" w:name="_Toc274661355"/>
      <w:r w:rsidRPr="001A7174">
        <w:rPr>
          <w:lang w:val="es-MX"/>
        </w:rPr>
        <w:t>Inversión total estimada para el Objetivo 2, por acuífero (miles de $).</w:t>
      </w:r>
      <w:bookmarkEnd w:id="221"/>
    </w:p>
    <w:tbl>
      <w:tblPr>
        <w:tblW w:w="4873" w:type="pct"/>
        <w:tblInd w:w="250" w:type="dxa"/>
        <w:tblBorders>
          <w:top w:val="single" w:sz="12" w:space="0" w:color="008000"/>
          <w:bottom w:val="single" w:sz="12" w:space="0" w:color="008000"/>
        </w:tblBorders>
        <w:tblLayout w:type="fixed"/>
        <w:tblLook w:val="04A0"/>
      </w:tblPr>
      <w:tblGrid>
        <w:gridCol w:w="676"/>
        <w:gridCol w:w="4287"/>
        <w:gridCol w:w="1566"/>
        <w:gridCol w:w="1416"/>
        <w:gridCol w:w="1559"/>
        <w:gridCol w:w="1418"/>
        <w:gridCol w:w="1411"/>
      </w:tblGrid>
      <w:tr w:rsidR="004073C0" w:rsidRPr="00C25AFF" w:rsidTr="00AE6F20">
        <w:trPr>
          <w:trHeight w:val="255"/>
        </w:trPr>
        <w:tc>
          <w:tcPr>
            <w:tcW w:w="274" w:type="pct"/>
            <w:tcBorders>
              <w:bottom w:val="single" w:sz="6" w:space="0" w:color="008000"/>
            </w:tcBorders>
            <w:vAlign w:val="center"/>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No.</w:t>
            </w:r>
          </w:p>
        </w:tc>
        <w:tc>
          <w:tcPr>
            <w:tcW w:w="1738"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635"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Huamantla</w:t>
            </w:r>
          </w:p>
        </w:tc>
        <w:tc>
          <w:tcPr>
            <w:tcW w:w="574"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Libres-Oriental</w:t>
            </w:r>
          </w:p>
        </w:tc>
        <w:tc>
          <w:tcPr>
            <w:tcW w:w="632"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Perote-Zalayeta</w:t>
            </w:r>
          </w:p>
        </w:tc>
        <w:tc>
          <w:tcPr>
            <w:tcW w:w="575"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Varios</w:t>
            </w:r>
          </w:p>
        </w:tc>
        <w:tc>
          <w:tcPr>
            <w:tcW w:w="573"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27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1</w:t>
            </w:r>
          </w:p>
        </w:tc>
        <w:tc>
          <w:tcPr>
            <w:tcW w:w="1738" w:type="pct"/>
            <w:shd w:val="clear" w:color="auto" w:fill="auto"/>
            <w:noWrap/>
            <w:hideMark/>
          </w:tcPr>
          <w:p w:rsidR="004073C0" w:rsidRPr="00C25AFF" w:rsidRDefault="004073C0" w:rsidP="00AE6F20">
            <w:pPr>
              <w:spacing w:before="20" w:after="20" w:line="240" w:lineRule="auto"/>
              <w:ind w:firstLineChars="17" w:firstLine="34"/>
              <w:jc w:val="left"/>
              <w:rPr>
                <w:rFonts w:eastAsia="Times New Roman" w:cs="Arial"/>
                <w:sz w:val="20"/>
                <w:lang w:eastAsia="es-MX"/>
              </w:rPr>
            </w:pPr>
            <w:r w:rsidRPr="00C25AFF">
              <w:rPr>
                <w:rFonts w:eastAsia="Times New Roman" w:cs="Arial"/>
                <w:sz w:val="20"/>
                <w:lang w:eastAsia="es-MX"/>
              </w:rPr>
              <w:t>Agua potable</w:t>
            </w:r>
          </w:p>
        </w:tc>
        <w:tc>
          <w:tcPr>
            <w:tcW w:w="63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$7,724.22</w:t>
            </w:r>
          </w:p>
        </w:tc>
        <w:tc>
          <w:tcPr>
            <w:tcW w:w="57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$87,595.69</w:t>
            </w:r>
          </w:p>
        </w:tc>
        <w:tc>
          <w:tcPr>
            <w:tcW w:w="632"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$5,410.65</w:t>
            </w:r>
          </w:p>
        </w:tc>
        <w:tc>
          <w:tcPr>
            <w:tcW w:w="57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573"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$100,730.57</w:t>
            </w:r>
          </w:p>
        </w:tc>
      </w:tr>
      <w:tr w:rsidR="004073C0" w:rsidRPr="00C25AFF" w:rsidTr="00AE6F20">
        <w:trPr>
          <w:trHeight w:val="255"/>
        </w:trPr>
        <w:tc>
          <w:tcPr>
            <w:tcW w:w="27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2</w:t>
            </w:r>
          </w:p>
        </w:tc>
        <w:tc>
          <w:tcPr>
            <w:tcW w:w="1738"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Control de descargas contaminantes</w:t>
            </w:r>
          </w:p>
        </w:tc>
        <w:tc>
          <w:tcPr>
            <w:tcW w:w="63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$5,000.00</w:t>
            </w:r>
          </w:p>
        </w:tc>
        <w:tc>
          <w:tcPr>
            <w:tcW w:w="57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$5,000.00</w:t>
            </w:r>
          </w:p>
        </w:tc>
        <w:tc>
          <w:tcPr>
            <w:tcW w:w="632"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$5,000.00</w:t>
            </w:r>
          </w:p>
        </w:tc>
        <w:tc>
          <w:tcPr>
            <w:tcW w:w="57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573"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r>
      <w:tr w:rsidR="004073C0" w:rsidRPr="00C25AFF" w:rsidTr="00AE6F20">
        <w:trPr>
          <w:trHeight w:val="255"/>
        </w:trPr>
        <w:tc>
          <w:tcPr>
            <w:tcW w:w="27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3</w:t>
            </w:r>
          </w:p>
        </w:tc>
        <w:tc>
          <w:tcPr>
            <w:tcW w:w="1738"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Incremento en cobertura y mantenimiento en sistemas de alcantarillado</w:t>
            </w:r>
          </w:p>
        </w:tc>
        <w:tc>
          <w:tcPr>
            <w:tcW w:w="635"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$91,216.65</w:t>
            </w:r>
          </w:p>
        </w:tc>
        <w:tc>
          <w:tcPr>
            <w:tcW w:w="57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$139,020.82</w:t>
            </w:r>
          </w:p>
        </w:tc>
        <w:tc>
          <w:tcPr>
            <w:tcW w:w="632"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$57,762.53</w:t>
            </w:r>
          </w:p>
        </w:tc>
        <w:tc>
          <w:tcPr>
            <w:tcW w:w="575"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$462,608.29</w:t>
            </w:r>
          </w:p>
        </w:tc>
        <w:tc>
          <w:tcPr>
            <w:tcW w:w="573"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$750,608.29</w:t>
            </w:r>
          </w:p>
        </w:tc>
      </w:tr>
      <w:tr w:rsidR="004073C0" w:rsidRPr="00C25AFF" w:rsidTr="00AE6F20">
        <w:trPr>
          <w:trHeight w:val="255"/>
        </w:trPr>
        <w:tc>
          <w:tcPr>
            <w:tcW w:w="27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4</w:t>
            </w:r>
          </w:p>
        </w:tc>
        <w:tc>
          <w:tcPr>
            <w:tcW w:w="1738" w:type="pct"/>
            <w:shd w:val="clear" w:color="auto" w:fill="auto"/>
            <w:noWrap/>
            <w:hideMark/>
          </w:tcPr>
          <w:p w:rsidR="004073C0" w:rsidRPr="00C25AFF" w:rsidRDefault="004073C0" w:rsidP="00AE6F20">
            <w:pPr>
              <w:spacing w:before="20" w:after="20" w:line="240" w:lineRule="auto"/>
              <w:ind w:firstLineChars="17" w:firstLine="34"/>
              <w:jc w:val="left"/>
              <w:rPr>
                <w:rFonts w:eastAsia="Times New Roman" w:cs="Arial"/>
                <w:sz w:val="20"/>
                <w:lang w:eastAsia="es-MX"/>
              </w:rPr>
            </w:pPr>
            <w:r w:rsidRPr="00C25AFF">
              <w:rPr>
                <w:rFonts w:eastAsia="Times New Roman" w:cs="Arial"/>
                <w:sz w:val="20"/>
                <w:lang w:eastAsia="es-MX"/>
              </w:rPr>
              <w:t>Incremento en sistemas de saneamiento</w:t>
            </w:r>
          </w:p>
        </w:tc>
        <w:tc>
          <w:tcPr>
            <w:tcW w:w="635"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574"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c>
          <w:tcPr>
            <w:tcW w:w="632"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575"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p>
        </w:tc>
        <w:tc>
          <w:tcPr>
            <w:tcW w:w="573"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r>
      <w:tr w:rsidR="004073C0" w:rsidRPr="00C25AFF" w:rsidTr="00AE6F20">
        <w:trPr>
          <w:trHeight w:val="255"/>
        </w:trPr>
        <w:tc>
          <w:tcPr>
            <w:tcW w:w="274" w:type="pct"/>
          </w:tcPr>
          <w:p w:rsidR="004073C0" w:rsidRPr="00C25AFF" w:rsidRDefault="004073C0" w:rsidP="00AE6F20">
            <w:pPr>
              <w:spacing w:before="20" w:after="20" w:line="240" w:lineRule="auto"/>
              <w:ind w:firstLine="0"/>
              <w:jc w:val="right"/>
              <w:rPr>
                <w:rFonts w:eastAsia="Times New Roman" w:cs="Arial"/>
                <w:b/>
                <w:bCs/>
                <w:sz w:val="20"/>
                <w:lang w:eastAsia="es-MX"/>
              </w:rPr>
            </w:pPr>
          </w:p>
        </w:tc>
        <w:tc>
          <w:tcPr>
            <w:tcW w:w="1738"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635"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$103,940.88</w:t>
            </w:r>
          </w:p>
        </w:tc>
        <w:tc>
          <w:tcPr>
            <w:tcW w:w="574"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$279,616.51</w:t>
            </w:r>
          </w:p>
        </w:tc>
        <w:tc>
          <w:tcPr>
            <w:tcW w:w="632"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$68,173.18</w:t>
            </w:r>
          </w:p>
        </w:tc>
        <w:tc>
          <w:tcPr>
            <w:tcW w:w="575"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$462,608.29</w:t>
            </w:r>
          </w:p>
        </w:tc>
        <w:tc>
          <w:tcPr>
            <w:tcW w:w="573"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$914,338.85</w:t>
            </w:r>
          </w:p>
        </w:tc>
      </w:tr>
    </w:tbl>
    <w:p w:rsidR="004073C0" w:rsidRDefault="004073C0" w:rsidP="004073C0"/>
    <w:p w:rsidR="004073C0" w:rsidRPr="001A7174" w:rsidRDefault="004073C0" w:rsidP="004073C0">
      <w:pPr>
        <w:pStyle w:val="Tabla1cap12"/>
        <w:ind w:left="56" w:firstLine="10"/>
        <w:rPr>
          <w:lang w:val="es-MX"/>
        </w:rPr>
      </w:pPr>
      <w:bookmarkStart w:id="222" w:name="_Toc274661356"/>
      <w:r w:rsidRPr="001A7174">
        <w:rPr>
          <w:lang w:val="es-MX"/>
        </w:rPr>
        <w:t>Inversión total estimada para el Objetivo 2, por periodo (miles de $).</w:t>
      </w:r>
      <w:bookmarkEnd w:id="222"/>
    </w:p>
    <w:tbl>
      <w:tblPr>
        <w:tblW w:w="4899" w:type="pct"/>
        <w:tblInd w:w="108" w:type="dxa"/>
        <w:tblBorders>
          <w:top w:val="single" w:sz="12" w:space="0" w:color="008000"/>
          <w:bottom w:val="single" w:sz="12" w:space="0" w:color="008000"/>
        </w:tblBorders>
        <w:tblLayout w:type="fixed"/>
        <w:tblLook w:val="04A0"/>
      </w:tblPr>
      <w:tblGrid>
        <w:gridCol w:w="853"/>
        <w:gridCol w:w="4684"/>
        <w:gridCol w:w="2125"/>
        <w:gridCol w:w="1696"/>
        <w:gridCol w:w="1557"/>
        <w:gridCol w:w="1483"/>
      </w:tblGrid>
      <w:tr w:rsidR="004073C0" w:rsidRPr="00C25AFF" w:rsidTr="00AE6F20">
        <w:trPr>
          <w:trHeight w:val="20"/>
        </w:trPr>
        <w:tc>
          <w:tcPr>
            <w:tcW w:w="344" w:type="pct"/>
            <w:tcBorders>
              <w:bottom w:val="single" w:sz="6" w:space="0" w:color="008000"/>
            </w:tcBorders>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No.</w:t>
            </w:r>
          </w:p>
        </w:tc>
        <w:tc>
          <w:tcPr>
            <w:tcW w:w="1889"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85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2011-2012</w:t>
            </w:r>
          </w:p>
        </w:tc>
        <w:tc>
          <w:tcPr>
            <w:tcW w:w="68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628"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598"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0"/>
        </w:trPr>
        <w:tc>
          <w:tcPr>
            <w:tcW w:w="34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1</w:t>
            </w:r>
          </w:p>
        </w:tc>
        <w:tc>
          <w:tcPr>
            <w:tcW w:w="1889" w:type="pct"/>
            <w:shd w:val="clear" w:color="auto" w:fill="auto"/>
            <w:noWrap/>
            <w:hideMark/>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Agua potable</w:t>
            </w:r>
          </w:p>
        </w:tc>
        <w:tc>
          <w:tcPr>
            <w:tcW w:w="85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$3,975.23</w:t>
            </w:r>
          </w:p>
        </w:tc>
        <w:tc>
          <w:tcPr>
            <w:tcW w:w="68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$88,344.03</w:t>
            </w:r>
          </w:p>
        </w:tc>
        <w:tc>
          <w:tcPr>
            <w:tcW w:w="62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$8,411.31</w:t>
            </w:r>
          </w:p>
        </w:tc>
        <w:tc>
          <w:tcPr>
            <w:tcW w:w="59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$100,730.57</w:t>
            </w:r>
          </w:p>
        </w:tc>
      </w:tr>
      <w:tr w:rsidR="004073C0" w:rsidRPr="00C25AFF" w:rsidTr="00AE6F20">
        <w:trPr>
          <w:trHeight w:val="20"/>
        </w:trPr>
        <w:tc>
          <w:tcPr>
            <w:tcW w:w="34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2</w:t>
            </w:r>
          </w:p>
        </w:tc>
        <w:tc>
          <w:tcPr>
            <w:tcW w:w="1889" w:type="pct"/>
            <w:shd w:val="clear" w:color="auto" w:fill="auto"/>
            <w:noWrap/>
            <w:hideMark/>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Control de descargas contaminantes</w:t>
            </w:r>
          </w:p>
        </w:tc>
        <w:tc>
          <w:tcPr>
            <w:tcW w:w="85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$2,100.00</w:t>
            </w:r>
          </w:p>
        </w:tc>
        <w:tc>
          <w:tcPr>
            <w:tcW w:w="68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$3,300.00</w:t>
            </w:r>
          </w:p>
        </w:tc>
        <w:tc>
          <w:tcPr>
            <w:tcW w:w="62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$9,600.00</w:t>
            </w:r>
          </w:p>
        </w:tc>
        <w:tc>
          <w:tcPr>
            <w:tcW w:w="59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r>
      <w:tr w:rsidR="004073C0" w:rsidRPr="00C25AFF" w:rsidTr="00AE6F20">
        <w:trPr>
          <w:trHeight w:val="20"/>
        </w:trPr>
        <w:tc>
          <w:tcPr>
            <w:tcW w:w="34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3</w:t>
            </w:r>
          </w:p>
        </w:tc>
        <w:tc>
          <w:tcPr>
            <w:tcW w:w="1889" w:type="pct"/>
            <w:shd w:val="clear" w:color="auto" w:fill="auto"/>
            <w:noWrap/>
            <w:hideMark/>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Incremento en cobertura y mantenimiento en sistemas de alcantarillado</w:t>
            </w:r>
          </w:p>
        </w:tc>
        <w:tc>
          <w:tcPr>
            <w:tcW w:w="85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$194,152.07</w:t>
            </w:r>
          </w:p>
        </w:tc>
        <w:tc>
          <w:tcPr>
            <w:tcW w:w="68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$194,152.07</w:t>
            </w:r>
          </w:p>
        </w:tc>
        <w:tc>
          <w:tcPr>
            <w:tcW w:w="628"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$362,304.14</w:t>
            </w:r>
          </w:p>
        </w:tc>
        <w:tc>
          <w:tcPr>
            <w:tcW w:w="598"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$750,608.29</w:t>
            </w:r>
          </w:p>
        </w:tc>
      </w:tr>
      <w:tr w:rsidR="004073C0" w:rsidRPr="00C25AFF" w:rsidTr="00AE6F20">
        <w:trPr>
          <w:trHeight w:val="20"/>
        </w:trPr>
        <w:tc>
          <w:tcPr>
            <w:tcW w:w="344" w:type="pct"/>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4</w:t>
            </w:r>
          </w:p>
        </w:tc>
        <w:tc>
          <w:tcPr>
            <w:tcW w:w="1889" w:type="pct"/>
            <w:shd w:val="clear" w:color="auto" w:fill="auto"/>
            <w:noWrap/>
            <w:hideMark/>
          </w:tcPr>
          <w:p w:rsidR="004073C0" w:rsidRPr="00C25AFF" w:rsidRDefault="004073C0" w:rsidP="00AE6F20">
            <w:pPr>
              <w:spacing w:before="20" w:after="20" w:line="240" w:lineRule="auto"/>
              <w:ind w:firstLineChars="100" w:firstLine="200"/>
              <w:jc w:val="left"/>
              <w:rPr>
                <w:rFonts w:eastAsia="Times New Roman" w:cs="Arial"/>
                <w:sz w:val="20"/>
                <w:lang w:eastAsia="es-MX"/>
              </w:rPr>
            </w:pPr>
            <w:r w:rsidRPr="00C25AFF">
              <w:rPr>
                <w:rFonts w:eastAsia="Times New Roman" w:cs="Arial"/>
                <w:sz w:val="20"/>
                <w:lang w:eastAsia="es-MX"/>
              </w:rPr>
              <w:t>Incremento en sistemas de saneamiento</w:t>
            </w:r>
          </w:p>
        </w:tc>
        <w:tc>
          <w:tcPr>
            <w:tcW w:w="857"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684"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c>
          <w:tcPr>
            <w:tcW w:w="628"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598"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$48,000.00</w:t>
            </w:r>
          </w:p>
        </w:tc>
      </w:tr>
      <w:tr w:rsidR="004073C0" w:rsidRPr="00C25AFF" w:rsidTr="00AE6F20">
        <w:trPr>
          <w:trHeight w:val="20"/>
        </w:trPr>
        <w:tc>
          <w:tcPr>
            <w:tcW w:w="344" w:type="pct"/>
          </w:tcPr>
          <w:p w:rsidR="004073C0" w:rsidRPr="00C25AFF" w:rsidRDefault="004073C0" w:rsidP="00AE6F20">
            <w:pPr>
              <w:spacing w:before="20" w:after="20" w:line="240" w:lineRule="auto"/>
              <w:ind w:firstLine="0"/>
              <w:jc w:val="right"/>
              <w:rPr>
                <w:rFonts w:eastAsia="Times New Roman" w:cs="Arial"/>
                <w:b/>
                <w:bCs/>
                <w:sz w:val="20"/>
                <w:lang w:eastAsia="es-MX"/>
              </w:rPr>
            </w:pPr>
          </w:p>
        </w:tc>
        <w:tc>
          <w:tcPr>
            <w:tcW w:w="1889"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Total General</w:t>
            </w:r>
          </w:p>
        </w:tc>
        <w:tc>
          <w:tcPr>
            <w:tcW w:w="857"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$200,227.30</w:t>
            </w:r>
          </w:p>
        </w:tc>
        <w:tc>
          <w:tcPr>
            <w:tcW w:w="684"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$333,796.10</w:t>
            </w:r>
          </w:p>
        </w:tc>
        <w:tc>
          <w:tcPr>
            <w:tcW w:w="628"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$380,315.45</w:t>
            </w:r>
          </w:p>
        </w:tc>
        <w:tc>
          <w:tcPr>
            <w:tcW w:w="598"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$914,338.85</w:t>
            </w:r>
          </w:p>
        </w:tc>
      </w:tr>
    </w:tbl>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EC3E71" w:rsidRDefault="00EC3E71" w:rsidP="004073C0"/>
    <w:p w:rsidR="004073C0" w:rsidRPr="001A7174" w:rsidRDefault="004073C0" w:rsidP="004073C0">
      <w:pPr>
        <w:pStyle w:val="Tabla1cap12"/>
        <w:ind w:left="56" w:firstLine="10"/>
        <w:rPr>
          <w:lang w:val="es-MX"/>
        </w:rPr>
      </w:pPr>
      <w:bookmarkStart w:id="223" w:name="_Toc274661357"/>
      <w:r w:rsidRPr="001A7174">
        <w:rPr>
          <w:lang w:val="es-MX"/>
        </w:rPr>
        <w:lastRenderedPageBreak/>
        <w:t>Inversión total estimada para el Objetivo 3, por acuífero (miles de $).</w:t>
      </w:r>
      <w:bookmarkEnd w:id="223"/>
    </w:p>
    <w:tbl>
      <w:tblPr>
        <w:tblW w:w="4945" w:type="pct"/>
        <w:tblBorders>
          <w:top w:val="single" w:sz="12" w:space="0" w:color="008000"/>
          <w:bottom w:val="single" w:sz="12" w:space="0" w:color="008000"/>
        </w:tblBorders>
        <w:tblLayout w:type="fixed"/>
        <w:tblLook w:val="04A0"/>
      </w:tblPr>
      <w:tblGrid>
        <w:gridCol w:w="675"/>
        <w:gridCol w:w="6092"/>
        <w:gridCol w:w="1417"/>
        <w:gridCol w:w="1482"/>
        <w:gridCol w:w="1497"/>
        <w:gridCol w:w="1352"/>
      </w:tblGrid>
      <w:tr w:rsidR="004073C0" w:rsidRPr="00C25AFF" w:rsidTr="00AE6F20">
        <w:trPr>
          <w:trHeight w:val="384"/>
          <w:tblHeader/>
        </w:trPr>
        <w:tc>
          <w:tcPr>
            <w:tcW w:w="270" w:type="pct"/>
            <w:tcBorders>
              <w:bottom w:val="single" w:sz="6" w:space="0" w:color="008000"/>
            </w:tcBorders>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No.</w:t>
            </w:r>
          </w:p>
        </w:tc>
        <w:tc>
          <w:tcPr>
            <w:tcW w:w="243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66"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Huamantla</w:t>
            </w:r>
          </w:p>
        </w:tc>
        <w:tc>
          <w:tcPr>
            <w:tcW w:w="592"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Libres-Oriental</w:t>
            </w:r>
          </w:p>
        </w:tc>
        <w:tc>
          <w:tcPr>
            <w:tcW w:w="598"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Perote-Zalayeta</w:t>
            </w:r>
          </w:p>
        </w:tc>
        <w:tc>
          <w:tcPr>
            <w:tcW w:w="540"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1</w:t>
            </w: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Control y prevención de la contaminación de suelo y agua</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$14,850.00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$14,850.00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$15,300.00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$45,000.00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Manejo de residuos sólidos</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$14,850.00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$14,850.00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$15,300.00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2</w:t>
            </w:r>
          </w:p>
        </w:tc>
        <w:tc>
          <w:tcPr>
            <w:tcW w:w="2434" w:type="pct"/>
            <w:shd w:val="clear" w:color="auto" w:fill="auto"/>
            <w:noWrap/>
            <w:hideMark/>
          </w:tcPr>
          <w:p w:rsidR="004073C0" w:rsidRPr="00C25AFF" w:rsidRDefault="004073C0" w:rsidP="00AE6F20">
            <w:pPr>
              <w:spacing w:before="20" w:after="20" w:line="240" w:lineRule="auto"/>
              <w:ind w:right="35" w:firstLine="0"/>
              <w:jc w:val="left"/>
              <w:rPr>
                <w:rFonts w:eastAsia="Times New Roman" w:cs="Arial"/>
                <w:b/>
                <w:bCs/>
                <w:sz w:val="20"/>
                <w:lang w:eastAsia="es-MX"/>
              </w:rPr>
            </w:pPr>
            <w:r w:rsidRPr="00C25AFF">
              <w:rPr>
                <w:rFonts w:eastAsia="Times New Roman" w:cs="Arial"/>
                <w:b/>
                <w:bCs/>
                <w:sz w:val="20"/>
                <w:lang w:eastAsia="es-MX"/>
              </w:rPr>
              <w:t>Instrumentos de coordinación institucional</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$1,980.00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$1,980.00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$2,040.00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$6,000.00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Coordinación institucional</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$1,980.00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$1,980.00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$2,040.00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3</w:t>
            </w: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Manejo de cuencas</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$89,040.00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$132,815.00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$103,145.00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$325,000.00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Capacitación e información</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$1,485.00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$1,485.00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$1,530.00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Fomento de recarga de agua subterránea</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$25,000.00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$26,050.00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$2,450.00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$53,500.00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Manejo Forestal Sustentable</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$1,350.00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$6,075.00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$6,075.00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$13,500.00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Programa de recuperación de suelos</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$10,125.00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$30,375.00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$27,000.00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$67,500.00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Protección a la biodiversidad</w:t>
            </w:r>
          </w:p>
        </w:tc>
        <w:tc>
          <w:tcPr>
            <w:tcW w:w="566"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$2,970.00</w:t>
            </w:r>
          </w:p>
        </w:tc>
        <w:tc>
          <w:tcPr>
            <w:tcW w:w="592"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$2,970.00</w:t>
            </w:r>
          </w:p>
        </w:tc>
        <w:tc>
          <w:tcPr>
            <w:tcW w:w="598"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$3,060.00</w:t>
            </w:r>
          </w:p>
        </w:tc>
        <w:tc>
          <w:tcPr>
            <w:tcW w:w="54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Reconversión de sistemas productivos</w:t>
            </w:r>
          </w:p>
        </w:tc>
        <w:tc>
          <w:tcPr>
            <w:tcW w:w="566" w:type="pct"/>
            <w:tcBorders>
              <w:bottom w:val="nil"/>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$14,850.00</w:t>
            </w:r>
          </w:p>
        </w:tc>
        <w:tc>
          <w:tcPr>
            <w:tcW w:w="592" w:type="pct"/>
            <w:tcBorders>
              <w:bottom w:val="nil"/>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$14,850.00</w:t>
            </w:r>
          </w:p>
        </w:tc>
        <w:tc>
          <w:tcPr>
            <w:tcW w:w="598" w:type="pct"/>
            <w:tcBorders>
              <w:bottom w:val="nil"/>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$15,300.00</w:t>
            </w:r>
          </w:p>
        </w:tc>
        <w:tc>
          <w:tcPr>
            <w:tcW w:w="540" w:type="pct"/>
            <w:tcBorders>
              <w:bottom w:val="nil"/>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Recuperación de superficie forestal</w:t>
            </w:r>
          </w:p>
        </w:tc>
        <w:tc>
          <w:tcPr>
            <w:tcW w:w="566" w:type="pct"/>
            <w:tcBorders>
              <w:top w:val="nil"/>
              <w:bottom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$33,260.00</w:t>
            </w:r>
          </w:p>
        </w:tc>
        <w:tc>
          <w:tcPr>
            <w:tcW w:w="592" w:type="pct"/>
            <w:tcBorders>
              <w:top w:val="nil"/>
              <w:bottom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$51,010.00</w:t>
            </w:r>
          </w:p>
        </w:tc>
        <w:tc>
          <w:tcPr>
            <w:tcW w:w="598" w:type="pct"/>
            <w:tcBorders>
              <w:top w:val="nil"/>
              <w:bottom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$47,730.00</w:t>
            </w:r>
          </w:p>
        </w:tc>
        <w:tc>
          <w:tcPr>
            <w:tcW w:w="540" w:type="pct"/>
            <w:tcBorders>
              <w:top w:val="nil"/>
              <w:bottom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$132,000.00</w:t>
            </w:r>
          </w:p>
        </w:tc>
      </w:tr>
      <w:tr w:rsidR="004073C0" w:rsidRPr="00C25AFF" w:rsidTr="00AE6F20">
        <w:trPr>
          <w:trHeight w:val="20"/>
        </w:trPr>
        <w:tc>
          <w:tcPr>
            <w:tcW w:w="270" w:type="pct"/>
          </w:tcPr>
          <w:p w:rsidR="004073C0" w:rsidRPr="00C25AFF" w:rsidRDefault="004073C0" w:rsidP="00AE6F20">
            <w:pPr>
              <w:spacing w:before="20" w:after="20" w:line="240" w:lineRule="auto"/>
              <w:ind w:firstLine="0"/>
              <w:jc w:val="right"/>
              <w:rPr>
                <w:rFonts w:eastAsia="Times New Roman" w:cs="Arial"/>
                <w:b/>
                <w:bCs/>
                <w:sz w:val="20"/>
                <w:lang w:eastAsia="es-MX"/>
              </w:rPr>
            </w:pPr>
          </w:p>
        </w:tc>
        <w:tc>
          <w:tcPr>
            <w:tcW w:w="2434"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566" w:type="pct"/>
            <w:tcBorders>
              <w:top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$105,870.00</w:t>
            </w:r>
          </w:p>
        </w:tc>
        <w:tc>
          <w:tcPr>
            <w:tcW w:w="592" w:type="pct"/>
            <w:tcBorders>
              <w:top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$149,645.00</w:t>
            </w:r>
          </w:p>
        </w:tc>
        <w:tc>
          <w:tcPr>
            <w:tcW w:w="598" w:type="pct"/>
            <w:tcBorders>
              <w:top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$120,485.00</w:t>
            </w:r>
          </w:p>
        </w:tc>
        <w:tc>
          <w:tcPr>
            <w:tcW w:w="540" w:type="pct"/>
            <w:tcBorders>
              <w:top w:val="single" w:sz="4" w:space="0" w:color="auto"/>
            </w:tcBorders>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$376,000.00</w:t>
            </w:r>
          </w:p>
        </w:tc>
      </w:tr>
    </w:tbl>
    <w:p w:rsidR="004073C0" w:rsidRPr="00C87AA4" w:rsidRDefault="004073C0" w:rsidP="004073C0">
      <w:pPr>
        <w:spacing w:after="0"/>
        <w:rPr>
          <w:sz w:val="16"/>
          <w:szCs w:val="16"/>
        </w:rPr>
      </w:pPr>
    </w:p>
    <w:p w:rsidR="004073C0" w:rsidRPr="001A7174" w:rsidRDefault="004073C0" w:rsidP="004073C0">
      <w:pPr>
        <w:pStyle w:val="Tabla1cap12"/>
        <w:ind w:left="56" w:firstLine="10"/>
        <w:rPr>
          <w:lang w:val="es-MX"/>
        </w:rPr>
      </w:pPr>
      <w:bookmarkStart w:id="224" w:name="_Toc274661358"/>
      <w:r w:rsidRPr="001A7174">
        <w:rPr>
          <w:lang w:val="es-MX"/>
        </w:rPr>
        <w:t>Inversión total estimada para el Objetivo 3, por periodo (miles de $).</w:t>
      </w:r>
      <w:bookmarkEnd w:id="224"/>
    </w:p>
    <w:tbl>
      <w:tblPr>
        <w:tblW w:w="4972" w:type="pct"/>
        <w:tblBorders>
          <w:top w:val="single" w:sz="12" w:space="0" w:color="008000"/>
          <w:bottom w:val="single" w:sz="12" w:space="0" w:color="008000"/>
        </w:tblBorders>
        <w:tblLayout w:type="fixed"/>
        <w:tblLook w:val="04A0"/>
      </w:tblPr>
      <w:tblGrid>
        <w:gridCol w:w="674"/>
        <w:gridCol w:w="6239"/>
        <w:gridCol w:w="1407"/>
        <w:gridCol w:w="1409"/>
        <w:gridCol w:w="1412"/>
        <w:gridCol w:w="1442"/>
      </w:tblGrid>
      <w:tr w:rsidR="004073C0" w:rsidRPr="00C25AFF" w:rsidTr="00AE6F20">
        <w:trPr>
          <w:trHeight w:val="270"/>
        </w:trPr>
        <w:tc>
          <w:tcPr>
            <w:tcW w:w="268" w:type="pct"/>
            <w:tcBorders>
              <w:bottom w:val="single" w:sz="6" w:space="0" w:color="008000"/>
            </w:tcBorders>
            <w:shd w:val="clear" w:color="auto" w:fill="auto"/>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No.</w:t>
            </w:r>
          </w:p>
        </w:tc>
        <w:tc>
          <w:tcPr>
            <w:tcW w:w="2479"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59" w:type="pct"/>
            <w:tcBorders>
              <w:bottom w:val="single" w:sz="6" w:space="0" w:color="008000"/>
            </w:tcBorders>
            <w:shd w:val="clear" w:color="auto" w:fill="auto"/>
            <w:noWrap/>
            <w:hideMark/>
          </w:tcPr>
          <w:p w:rsidR="004073C0" w:rsidRPr="00C25AFF" w:rsidRDefault="004073C0" w:rsidP="00AE6F20">
            <w:pPr>
              <w:spacing w:before="20" w:after="20" w:line="240" w:lineRule="auto"/>
              <w:ind w:left="-251" w:firstLine="0"/>
              <w:jc w:val="center"/>
              <w:rPr>
                <w:rFonts w:eastAsia="Times New Roman" w:cs="Arial"/>
                <w:b/>
                <w:bCs/>
                <w:sz w:val="20"/>
                <w:lang w:eastAsia="es-MX"/>
              </w:rPr>
            </w:pPr>
            <w:r w:rsidRPr="00C25AFF">
              <w:rPr>
                <w:rFonts w:eastAsia="Times New Roman" w:cs="Arial"/>
                <w:b/>
                <w:bCs/>
                <w:sz w:val="20"/>
                <w:lang w:eastAsia="es-MX"/>
              </w:rPr>
              <w:t>2011-2012</w:t>
            </w:r>
          </w:p>
        </w:tc>
        <w:tc>
          <w:tcPr>
            <w:tcW w:w="560"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561"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573"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1</w:t>
            </w: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Control y prevención de la contaminación de suelo y agua</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$3,000.00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$9,000.00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$33,000.00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$45,000.00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Manejo de residuos sólidos</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$3,000.00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$9,000.00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$33,000.00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2</w:t>
            </w: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Instrumentos de coordinación institucional</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$400.00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$1,200.00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$4,400.00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$6,000.00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Coordinación institucional</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$1,200.00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$4,400.00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3</w:t>
            </w: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Manejo de cuencas</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$21,666.67</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$65,000.00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$238,333.33</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$325,000.00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Capacitación e información</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$3,300.00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Fomento de recarga de agua subterránea</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$3,566.67</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$10,700.00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$39,233.33</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$53,500.00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Manejo Forestal Sustentable</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$2,700.00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$9,900.00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$13,500.00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Programa de recuperación de suelos</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$13,500.00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$49,500.00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$67,500.00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Protección a la biodiversidad</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$1,800.00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$6,600.00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Reconversión de sistemas productivos</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$3,000.00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$9,000.00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$33,000.00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$45,000.00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Recuperación de superficie forestal</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$8,800.00</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$26,400.00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$96,800.00</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sz w:val="20"/>
              </w:rPr>
            </w:pPr>
            <w:r w:rsidRPr="00C25AFF">
              <w:rPr>
                <w:rFonts w:cs="Arial"/>
                <w:sz w:val="20"/>
              </w:rPr>
              <w:t>$132,000.00</w:t>
            </w:r>
          </w:p>
        </w:tc>
      </w:tr>
      <w:tr w:rsidR="004073C0" w:rsidRPr="00C25AFF" w:rsidTr="00AE6F20">
        <w:trPr>
          <w:trHeight w:val="270"/>
        </w:trPr>
        <w:tc>
          <w:tcPr>
            <w:tcW w:w="268" w:type="pct"/>
            <w:shd w:val="clear" w:color="auto" w:fill="auto"/>
          </w:tcPr>
          <w:p w:rsidR="004073C0" w:rsidRPr="00C25AFF" w:rsidRDefault="004073C0" w:rsidP="00AE6F20">
            <w:pPr>
              <w:spacing w:before="20" w:after="20" w:line="240" w:lineRule="auto"/>
              <w:ind w:firstLine="0"/>
              <w:jc w:val="left"/>
              <w:rPr>
                <w:rFonts w:eastAsia="Times New Roman" w:cs="Arial"/>
                <w:b/>
                <w:bCs/>
                <w:sz w:val="20"/>
                <w:lang w:eastAsia="es-MX"/>
              </w:rPr>
            </w:pPr>
          </w:p>
        </w:tc>
        <w:tc>
          <w:tcPr>
            <w:tcW w:w="2479"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559"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$25,066.67</w:t>
            </w:r>
          </w:p>
        </w:tc>
        <w:tc>
          <w:tcPr>
            <w:tcW w:w="560"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$75,200.00</w:t>
            </w:r>
          </w:p>
        </w:tc>
        <w:tc>
          <w:tcPr>
            <w:tcW w:w="561"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$275,733.33</w:t>
            </w:r>
          </w:p>
        </w:tc>
        <w:tc>
          <w:tcPr>
            <w:tcW w:w="573" w:type="pct"/>
            <w:shd w:val="clear" w:color="auto" w:fill="auto"/>
            <w:noWrap/>
            <w:vAlign w:val="bottom"/>
            <w:hideMark/>
          </w:tcPr>
          <w:p w:rsidR="004073C0" w:rsidRPr="00C25AFF" w:rsidRDefault="004073C0" w:rsidP="00AE6F20">
            <w:pPr>
              <w:spacing w:before="20" w:after="20" w:line="240" w:lineRule="auto"/>
              <w:ind w:firstLine="0"/>
              <w:jc w:val="right"/>
              <w:rPr>
                <w:rFonts w:cs="Arial"/>
                <w:b/>
                <w:bCs/>
                <w:sz w:val="20"/>
              </w:rPr>
            </w:pPr>
            <w:r w:rsidRPr="00C25AFF">
              <w:rPr>
                <w:rFonts w:cs="Arial"/>
                <w:b/>
                <w:bCs/>
                <w:sz w:val="20"/>
              </w:rPr>
              <w:t>$376,000.00</w:t>
            </w:r>
          </w:p>
        </w:tc>
      </w:tr>
    </w:tbl>
    <w:p w:rsidR="004073C0" w:rsidRDefault="004073C0" w:rsidP="004073C0"/>
    <w:p w:rsidR="004073C0" w:rsidRPr="001A7174" w:rsidRDefault="004073C0" w:rsidP="004073C0">
      <w:pPr>
        <w:pStyle w:val="Tabla1cap12"/>
        <w:ind w:left="56" w:firstLine="10"/>
        <w:rPr>
          <w:lang w:val="es-MX"/>
        </w:rPr>
      </w:pPr>
      <w:bookmarkStart w:id="225" w:name="_Toc274661359"/>
      <w:r w:rsidRPr="001A7174">
        <w:rPr>
          <w:lang w:val="es-MX"/>
        </w:rPr>
        <w:t>Inversión total estimada para el Objetivo 4, por acuífero (miles de $).</w:t>
      </w:r>
      <w:bookmarkEnd w:id="225"/>
    </w:p>
    <w:tbl>
      <w:tblPr>
        <w:tblW w:w="4971" w:type="pct"/>
        <w:tblBorders>
          <w:top w:val="single" w:sz="12" w:space="0" w:color="008000"/>
          <w:bottom w:val="single" w:sz="12" w:space="0" w:color="008000"/>
        </w:tblBorders>
        <w:tblLayout w:type="fixed"/>
        <w:tblLook w:val="04A0"/>
      </w:tblPr>
      <w:tblGrid>
        <w:gridCol w:w="534"/>
        <w:gridCol w:w="6238"/>
        <w:gridCol w:w="1701"/>
        <w:gridCol w:w="35"/>
        <w:gridCol w:w="1381"/>
        <w:gridCol w:w="164"/>
        <w:gridCol w:w="1112"/>
        <w:gridCol w:w="216"/>
        <w:gridCol w:w="1200"/>
      </w:tblGrid>
      <w:tr w:rsidR="004073C0" w:rsidRPr="00275B67" w:rsidTr="00AE6F20">
        <w:trPr>
          <w:trHeight w:val="255"/>
          <w:tblHeader/>
        </w:trPr>
        <w:tc>
          <w:tcPr>
            <w:tcW w:w="212" w:type="pct"/>
            <w:tcBorders>
              <w:bottom w:val="single" w:sz="6" w:space="0" w:color="008000"/>
            </w:tcBorders>
            <w:vAlign w:val="center"/>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No.</w:t>
            </w:r>
          </w:p>
        </w:tc>
        <w:tc>
          <w:tcPr>
            <w:tcW w:w="2479" w:type="pct"/>
            <w:tcBorders>
              <w:bottom w:val="single" w:sz="6" w:space="0" w:color="008000"/>
            </w:tcBorders>
            <w:shd w:val="clear" w:color="auto" w:fill="auto"/>
            <w:noWrap/>
            <w:vAlign w:val="center"/>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Descripción</w:t>
            </w:r>
          </w:p>
        </w:tc>
        <w:tc>
          <w:tcPr>
            <w:tcW w:w="690" w:type="pct"/>
            <w:gridSpan w:val="2"/>
            <w:tcBorders>
              <w:bottom w:val="single" w:sz="6" w:space="0" w:color="008000"/>
            </w:tcBorders>
            <w:shd w:val="clear" w:color="auto" w:fill="auto"/>
            <w:noWrap/>
            <w:vAlign w:val="center"/>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Huamantla</w:t>
            </w:r>
          </w:p>
        </w:tc>
        <w:tc>
          <w:tcPr>
            <w:tcW w:w="614" w:type="pct"/>
            <w:gridSpan w:val="2"/>
            <w:tcBorders>
              <w:bottom w:val="single" w:sz="6" w:space="0" w:color="008000"/>
            </w:tcBorders>
            <w:shd w:val="clear" w:color="auto" w:fill="auto"/>
            <w:noWrap/>
            <w:vAlign w:val="center"/>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Libres-Oriental</w:t>
            </w:r>
          </w:p>
        </w:tc>
        <w:tc>
          <w:tcPr>
            <w:tcW w:w="528" w:type="pct"/>
            <w:gridSpan w:val="2"/>
            <w:tcBorders>
              <w:bottom w:val="single" w:sz="6" w:space="0" w:color="008000"/>
            </w:tcBorders>
            <w:shd w:val="clear" w:color="auto" w:fill="auto"/>
            <w:noWrap/>
            <w:vAlign w:val="center"/>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Perote-Zalayeta</w:t>
            </w:r>
          </w:p>
        </w:tc>
        <w:tc>
          <w:tcPr>
            <w:tcW w:w="477" w:type="pct"/>
            <w:tcBorders>
              <w:bottom w:val="single" w:sz="6" w:space="0" w:color="008000"/>
            </w:tcBorders>
            <w:shd w:val="clear" w:color="auto" w:fill="auto"/>
            <w:noWrap/>
            <w:vAlign w:val="center"/>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Total</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1</w:t>
            </w:r>
          </w:p>
        </w:tc>
        <w:tc>
          <w:tcPr>
            <w:tcW w:w="2479"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Banco de derechos del agua a favor del acuífero</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$660.00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$660.00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$680.00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Banco de derechos del agua a favor del acuífero</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$660.00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$660.00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$680.00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2</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Desarrollo de Organismos Operadores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$12,870.00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$12,870.00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$13,260.00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$39,000.00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Creación y consolidación de organismos operadores o instituciones similares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$12,870.00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$12,870.00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$13,260.00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$39,000.00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3</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Estudios y proyectos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$8,910.00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$8,910.00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$9,180.00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$27,000.00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Planeación</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$1,485.00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$1,485.00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$1,530.00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Programa de desarrollo en zonas rurales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$4,455.00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$4,455.00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$4,590.00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Programa de desarrollo en zonas rurales, servicios ambientales, empleo y turismo</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$2,970.00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$2,970.00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$3,060.00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4</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Gestión de financiamiento</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$693.00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$693.00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$714.00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$2,100.00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Gestión de financiamiento hacia instituciones ejecutoras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$693.00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$693.00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$714.00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$2,100.00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5</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Gestión de programas de apoyo</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$297.00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$297.00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$306.00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$900.00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Gestionar recursos financieros para fomentar la participación social e institucional</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$297.00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$297.00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$306.00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 xml:space="preserve">6 </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 xml:space="preserve">Gestión social y política </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$495.00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$495.00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$510.00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Gestión de políticas y programas de incidencia hídrica</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$495.00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$495.00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$510.00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7</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Optimización de tarifas y recursos hídricos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$11,880.00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$11,880.00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$12,240.00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$36,000.00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Difusión del concepto de pago por servicios ambientales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$495.00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$495.00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$510.00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Identificación de áreas de oportunidad para el desarrollo socioeconómico</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$4,455.00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$4,455.00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$4,590.00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Valoración económica del agua</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$6,930.00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$6,930.00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$7,140.00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$21,000.00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100" w:firstLine="181"/>
              <w:jc w:val="left"/>
              <w:rPr>
                <w:rFonts w:eastAsia="Times New Roman" w:cs="Arial"/>
                <w:b/>
                <w:bCs/>
                <w:sz w:val="18"/>
                <w:szCs w:val="18"/>
                <w:lang w:eastAsia="es-MX"/>
              </w:rPr>
            </w:pPr>
            <w:r w:rsidRPr="00275B67">
              <w:rPr>
                <w:rFonts w:eastAsia="Times New Roman" w:cs="Arial"/>
                <w:b/>
                <w:bCs/>
                <w:sz w:val="18"/>
                <w:szCs w:val="18"/>
                <w:lang w:eastAsia="es-MX"/>
              </w:rPr>
              <w:t>8</w:t>
            </w: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b/>
                <w:bCs/>
                <w:sz w:val="18"/>
                <w:szCs w:val="18"/>
                <w:lang w:eastAsia="es-MX"/>
              </w:rPr>
            </w:pPr>
            <w:r w:rsidRPr="00275B67">
              <w:rPr>
                <w:rFonts w:eastAsia="Times New Roman" w:cs="Arial"/>
                <w:b/>
                <w:bCs/>
                <w:sz w:val="18"/>
                <w:szCs w:val="18"/>
                <w:lang w:eastAsia="es-MX"/>
              </w:rPr>
              <w:t>Sistemas de información</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$56,430.00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$56,430.00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$58,140.00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$171,000.00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Censo de infraestructura hidráulica</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$1,485.00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$1,485.00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$1,530.00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 xml:space="preserve">Hidrología </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$14,850.00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$14,850.00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$15,300.00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Hidrometría</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$26,730.00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$26,730.00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$27,540.00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$81,000.00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Inventario oficial de aprovechamientos y descargas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$4,455.00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$4,455.00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$4,590.00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$13,500.00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Medición y monitoreo de indicadores</w:t>
            </w:r>
          </w:p>
        </w:tc>
        <w:tc>
          <w:tcPr>
            <w:tcW w:w="676"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$1,980.00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$1,980.00</w:t>
            </w:r>
          </w:p>
        </w:tc>
        <w:tc>
          <w:tcPr>
            <w:tcW w:w="507"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$2,040.00</w:t>
            </w:r>
          </w:p>
        </w:tc>
        <w:tc>
          <w:tcPr>
            <w:tcW w:w="563" w:type="pct"/>
            <w:gridSpan w:val="2"/>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Modernizar los lineamientos para mejorar la calidad del agua</w:t>
            </w:r>
          </w:p>
        </w:tc>
        <w:tc>
          <w:tcPr>
            <w:tcW w:w="676" w:type="pct"/>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$1,980.00</w:t>
            </w:r>
          </w:p>
        </w:tc>
        <w:tc>
          <w:tcPr>
            <w:tcW w:w="563" w:type="pct"/>
            <w:gridSpan w:val="2"/>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$1,980.00</w:t>
            </w:r>
          </w:p>
        </w:tc>
        <w:tc>
          <w:tcPr>
            <w:tcW w:w="507" w:type="pct"/>
            <w:gridSpan w:val="2"/>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$2,040.00</w:t>
            </w:r>
          </w:p>
        </w:tc>
        <w:tc>
          <w:tcPr>
            <w:tcW w:w="563" w:type="pct"/>
            <w:gridSpan w:val="2"/>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Chars="200" w:firstLine="360"/>
              <w:jc w:val="left"/>
              <w:rPr>
                <w:rFonts w:eastAsia="Times New Roman" w:cs="Arial"/>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Chars="15" w:firstLine="27"/>
              <w:jc w:val="left"/>
              <w:rPr>
                <w:rFonts w:eastAsia="Times New Roman" w:cs="Arial"/>
                <w:sz w:val="18"/>
                <w:szCs w:val="18"/>
                <w:lang w:eastAsia="es-MX"/>
              </w:rPr>
            </w:pPr>
            <w:r w:rsidRPr="00275B67">
              <w:rPr>
                <w:rFonts w:eastAsia="Times New Roman" w:cs="Arial"/>
                <w:sz w:val="18"/>
                <w:szCs w:val="18"/>
                <w:lang w:eastAsia="es-MX"/>
              </w:rPr>
              <w:t>Ordenamiento geográfico</w:t>
            </w:r>
          </w:p>
        </w:tc>
        <w:tc>
          <w:tcPr>
            <w:tcW w:w="676" w:type="pct"/>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$4,950.00</w:t>
            </w:r>
          </w:p>
        </w:tc>
        <w:tc>
          <w:tcPr>
            <w:tcW w:w="563" w:type="pct"/>
            <w:gridSpan w:val="2"/>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$4,950.00</w:t>
            </w:r>
          </w:p>
        </w:tc>
        <w:tc>
          <w:tcPr>
            <w:tcW w:w="507" w:type="pct"/>
            <w:gridSpan w:val="2"/>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$5,100.00</w:t>
            </w:r>
          </w:p>
        </w:tc>
        <w:tc>
          <w:tcPr>
            <w:tcW w:w="563" w:type="pct"/>
            <w:gridSpan w:val="2"/>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$15,000.00</w:t>
            </w:r>
          </w:p>
        </w:tc>
      </w:tr>
      <w:tr w:rsidR="004073C0" w:rsidRPr="00275B67" w:rsidTr="00AE6F20">
        <w:trPr>
          <w:trHeight w:val="255"/>
        </w:trPr>
        <w:tc>
          <w:tcPr>
            <w:tcW w:w="212" w:type="pct"/>
          </w:tcPr>
          <w:p w:rsidR="004073C0" w:rsidRPr="00275B67" w:rsidRDefault="004073C0" w:rsidP="00AE6F20">
            <w:pPr>
              <w:spacing w:before="20" w:after="20" w:line="240" w:lineRule="auto"/>
              <w:ind w:firstLine="0"/>
              <w:jc w:val="center"/>
              <w:rPr>
                <w:rFonts w:eastAsia="Times New Roman" w:cs="Arial"/>
                <w:b/>
                <w:bCs/>
                <w:sz w:val="18"/>
                <w:szCs w:val="18"/>
                <w:lang w:eastAsia="es-MX"/>
              </w:rPr>
            </w:pPr>
          </w:p>
        </w:tc>
        <w:tc>
          <w:tcPr>
            <w:tcW w:w="2479" w:type="pct"/>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Total General</w:t>
            </w:r>
          </w:p>
        </w:tc>
        <w:tc>
          <w:tcPr>
            <w:tcW w:w="676" w:type="pct"/>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$92,235.00</w:t>
            </w:r>
          </w:p>
        </w:tc>
        <w:tc>
          <w:tcPr>
            <w:tcW w:w="563" w:type="pct"/>
            <w:gridSpan w:val="2"/>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$92,235.00</w:t>
            </w:r>
          </w:p>
        </w:tc>
        <w:tc>
          <w:tcPr>
            <w:tcW w:w="507" w:type="pct"/>
            <w:gridSpan w:val="2"/>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$95,030.00</w:t>
            </w:r>
          </w:p>
        </w:tc>
        <w:tc>
          <w:tcPr>
            <w:tcW w:w="563" w:type="pct"/>
            <w:gridSpan w:val="2"/>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$279,500.00</w:t>
            </w:r>
          </w:p>
        </w:tc>
      </w:tr>
    </w:tbl>
    <w:p w:rsidR="004073C0" w:rsidRDefault="004073C0" w:rsidP="004073C0"/>
    <w:p w:rsidR="004073C0" w:rsidRDefault="004073C0" w:rsidP="004073C0"/>
    <w:p w:rsidR="004073C0" w:rsidRPr="001A7174" w:rsidRDefault="004073C0" w:rsidP="004073C0">
      <w:pPr>
        <w:pStyle w:val="Tabla1cap12"/>
        <w:ind w:left="56" w:firstLine="10"/>
        <w:rPr>
          <w:lang w:val="es-MX"/>
        </w:rPr>
      </w:pPr>
      <w:bookmarkStart w:id="226" w:name="_Toc274661360"/>
      <w:r w:rsidRPr="001A7174">
        <w:rPr>
          <w:lang w:val="es-MX"/>
        </w:rPr>
        <w:t>Inversión total estimada para el Objetivo 4, por periodo (miles de $).</w:t>
      </w:r>
      <w:bookmarkEnd w:id="226"/>
    </w:p>
    <w:tbl>
      <w:tblPr>
        <w:tblW w:w="5071" w:type="pct"/>
        <w:tblBorders>
          <w:top w:val="single" w:sz="12" w:space="0" w:color="008000"/>
          <w:bottom w:val="single" w:sz="12" w:space="0" w:color="008000"/>
        </w:tblBorders>
        <w:tblLayout w:type="fixed"/>
        <w:tblLook w:val="04A0"/>
      </w:tblPr>
      <w:tblGrid>
        <w:gridCol w:w="534"/>
        <w:gridCol w:w="6635"/>
        <w:gridCol w:w="1568"/>
        <w:gridCol w:w="1268"/>
        <w:gridCol w:w="1417"/>
        <w:gridCol w:w="1412"/>
      </w:tblGrid>
      <w:tr w:rsidR="004073C0" w:rsidRPr="00275B67" w:rsidTr="00AE6F20">
        <w:trPr>
          <w:trHeight w:val="255"/>
        </w:trPr>
        <w:tc>
          <w:tcPr>
            <w:tcW w:w="208" w:type="pct"/>
            <w:tcBorders>
              <w:bottom w:val="single" w:sz="6" w:space="0" w:color="008000"/>
            </w:tcBorders>
          </w:tcPr>
          <w:p w:rsidR="004073C0" w:rsidRPr="00275B67" w:rsidRDefault="004073C0" w:rsidP="00AE6F20">
            <w:pPr>
              <w:spacing w:before="20" w:after="20" w:line="240" w:lineRule="auto"/>
              <w:ind w:hanging="142"/>
              <w:jc w:val="center"/>
              <w:rPr>
                <w:rFonts w:eastAsia="Times New Roman" w:cs="Arial"/>
                <w:b/>
                <w:bCs/>
                <w:sz w:val="18"/>
                <w:szCs w:val="18"/>
                <w:lang w:eastAsia="es-MX"/>
              </w:rPr>
            </w:pPr>
            <w:r w:rsidRPr="00275B67">
              <w:rPr>
                <w:rFonts w:eastAsia="Times New Roman" w:cs="Arial"/>
                <w:b/>
                <w:bCs/>
                <w:sz w:val="18"/>
                <w:szCs w:val="18"/>
                <w:lang w:eastAsia="es-MX"/>
              </w:rPr>
              <w:t>No.</w:t>
            </w:r>
          </w:p>
        </w:tc>
        <w:tc>
          <w:tcPr>
            <w:tcW w:w="2585" w:type="pct"/>
            <w:tcBorders>
              <w:bottom w:val="single" w:sz="6" w:space="0" w:color="008000"/>
            </w:tcBorders>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Descripción</w:t>
            </w:r>
          </w:p>
        </w:tc>
        <w:tc>
          <w:tcPr>
            <w:tcW w:w="611" w:type="pct"/>
            <w:tcBorders>
              <w:bottom w:val="single" w:sz="6" w:space="0" w:color="008000"/>
            </w:tcBorders>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2011-2012</w:t>
            </w:r>
          </w:p>
        </w:tc>
        <w:tc>
          <w:tcPr>
            <w:tcW w:w="494" w:type="pct"/>
            <w:tcBorders>
              <w:bottom w:val="single" w:sz="6" w:space="0" w:color="008000"/>
            </w:tcBorders>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2013-2018</w:t>
            </w:r>
          </w:p>
        </w:tc>
        <w:tc>
          <w:tcPr>
            <w:tcW w:w="552" w:type="pct"/>
            <w:tcBorders>
              <w:bottom w:val="single" w:sz="6" w:space="0" w:color="008000"/>
            </w:tcBorders>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2019-2040</w:t>
            </w:r>
          </w:p>
        </w:tc>
        <w:tc>
          <w:tcPr>
            <w:tcW w:w="550" w:type="pct"/>
            <w:tcBorders>
              <w:bottom w:val="single" w:sz="6" w:space="0" w:color="008000"/>
            </w:tcBorders>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Total</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1</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Banco de derechos del agua a favor del acuífero</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$133.33</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$400.00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$1,466.67</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Banco de derechos del agua a favor del acuífero</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$133.33</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$1,466.67</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2</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Desarrollo de Organismos Operadores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$2,600.00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$7,800.00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$28,600.00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$39,000.00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Creación y consolidación de organismos operadores o instituciones similares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$2,600.00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$7,800.00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$28,600.00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$39,000.00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3</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Estudios y proyectos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$1,800.00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$5,400.00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$19,800.00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$27,000.00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Planeación</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$3,300.00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Programa de desarrollo en zonas rurales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$2,700.00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$9,900.00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Programa de desarrollo en zonas rurales, servicios ambientales, empleo y turismo</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$1,800.00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$6,600.00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4</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Gestión de financiamiento</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$140.00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$420.00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$1,540.00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$2,100.00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Gestión de financiamiento hacia instituciones ejecutoras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$420.00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$1,540.00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$2,100.00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5</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Gestión de programas de apoyo</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$180.00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$660.00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$900.00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Gestionar recursos financieros para fomentar la participación social e institucional</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$180.00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$660.00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6</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 xml:space="preserve">Gestión social y política </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$1,100.00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Gestión de políticas y programas de incidencia hídrica</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$1,100.00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7</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Optimización de tarifas y recursos hídricos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$2,400.00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$7,200.00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$26,400.00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$36,000.00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Difusión del concepto de pago por servicios ambientales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$1,100.00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Identificación de áreas de oportunidad para el desarrollo socioeconómico</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$2,700.00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$9,900.00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Valoración económica del agua</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$1,400.00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$4,200.00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$15,400.00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$21,000.00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8</w:t>
            </w: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b/>
                <w:bCs/>
                <w:sz w:val="18"/>
                <w:szCs w:val="18"/>
                <w:lang w:eastAsia="es-MX"/>
              </w:rPr>
            </w:pPr>
            <w:r w:rsidRPr="00275B67">
              <w:rPr>
                <w:rFonts w:eastAsia="Times New Roman" w:cs="Arial"/>
                <w:b/>
                <w:bCs/>
                <w:sz w:val="18"/>
                <w:szCs w:val="18"/>
                <w:lang w:eastAsia="es-MX"/>
              </w:rPr>
              <w:t>Sistemas de información</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$11,400.00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$34,200.00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$125,400.00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$171,000.00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Censo de infraestructura hidráulica</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$3,300.00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 xml:space="preserve">Hidrología </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$33,000.00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$45,000.00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Hidrometría</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$5,400.00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$16,200.00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$59,400.00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$81,000.00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Inventario oficial de aprovechamientos y descargas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$2,700.00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$9,900.00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$13,500.00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Medición y monitoreo de indicadores</w:t>
            </w:r>
          </w:p>
        </w:tc>
        <w:tc>
          <w:tcPr>
            <w:tcW w:w="611"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$400.00</w:t>
            </w:r>
          </w:p>
        </w:tc>
        <w:tc>
          <w:tcPr>
            <w:tcW w:w="494"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$1,200.00</w:t>
            </w:r>
          </w:p>
        </w:tc>
        <w:tc>
          <w:tcPr>
            <w:tcW w:w="552"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$4,400.00</w:t>
            </w:r>
          </w:p>
        </w:tc>
        <w:tc>
          <w:tcPr>
            <w:tcW w:w="550" w:type="pct"/>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Modernizar los lineamientos para mejorar la calidad del agua</w:t>
            </w:r>
          </w:p>
        </w:tc>
        <w:tc>
          <w:tcPr>
            <w:tcW w:w="611" w:type="pct"/>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$400.00</w:t>
            </w:r>
          </w:p>
        </w:tc>
        <w:tc>
          <w:tcPr>
            <w:tcW w:w="494" w:type="pct"/>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$1,200.00</w:t>
            </w:r>
          </w:p>
        </w:tc>
        <w:tc>
          <w:tcPr>
            <w:tcW w:w="552" w:type="pct"/>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$4,400.00</w:t>
            </w:r>
          </w:p>
        </w:tc>
        <w:tc>
          <w:tcPr>
            <w:tcW w:w="550" w:type="pct"/>
            <w:tcBorders>
              <w:bottom w:val="nil"/>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$6,000.00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left"/>
              <w:rPr>
                <w:rFonts w:eastAsia="Times New Roman" w:cs="Arial"/>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left"/>
              <w:rPr>
                <w:rFonts w:eastAsia="Times New Roman" w:cs="Arial"/>
                <w:sz w:val="18"/>
                <w:szCs w:val="18"/>
                <w:lang w:eastAsia="es-MX"/>
              </w:rPr>
            </w:pPr>
            <w:r w:rsidRPr="00275B67">
              <w:rPr>
                <w:rFonts w:eastAsia="Times New Roman" w:cs="Arial"/>
                <w:sz w:val="18"/>
                <w:szCs w:val="18"/>
                <w:lang w:eastAsia="es-MX"/>
              </w:rPr>
              <w:t>Ordenamiento geográfico</w:t>
            </w:r>
          </w:p>
        </w:tc>
        <w:tc>
          <w:tcPr>
            <w:tcW w:w="611" w:type="pct"/>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$1,000.00</w:t>
            </w:r>
          </w:p>
        </w:tc>
        <w:tc>
          <w:tcPr>
            <w:tcW w:w="494" w:type="pct"/>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$3,000.00</w:t>
            </w:r>
          </w:p>
        </w:tc>
        <w:tc>
          <w:tcPr>
            <w:tcW w:w="552" w:type="pct"/>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$11,000.00</w:t>
            </w:r>
          </w:p>
        </w:tc>
        <w:tc>
          <w:tcPr>
            <w:tcW w:w="550" w:type="pct"/>
            <w:tcBorders>
              <w:top w:val="nil"/>
              <w:bottom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sz w:val="18"/>
                <w:szCs w:val="18"/>
                <w:lang w:eastAsia="es-MX"/>
              </w:rPr>
            </w:pPr>
            <w:r w:rsidRPr="00275B67">
              <w:rPr>
                <w:rFonts w:eastAsia="Times New Roman" w:cs="Arial"/>
                <w:sz w:val="18"/>
                <w:szCs w:val="18"/>
                <w:lang w:eastAsia="es-MX"/>
              </w:rPr>
              <w:t>$15,000.00</w:t>
            </w:r>
          </w:p>
        </w:tc>
      </w:tr>
      <w:tr w:rsidR="004073C0" w:rsidRPr="00275B67" w:rsidTr="00AE6F20">
        <w:trPr>
          <w:trHeight w:val="255"/>
        </w:trPr>
        <w:tc>
          <w:tcPr>
            <w:tcW w:w="208" w:type="pct"/>
          </w:tcPr>
          <w:p w:rsidR="004073C0" w:rsidRPr="00275B67" w:rsidRDefault="004073C0" w:rsidP="00AE6F20">
            <w:pPr>
              <w:spacing w:before="20" w:after="20" w:line="240" w:lineRule="auto"/>
              <w:ind w:firstLine="0"/>
              <w:jc w:val="center"/>
              <w:rPr>
                <w:rFonts w:eastAsia="Times New Roman" w:cs="Arial"/>
                <w:b/>
                <w:bCs/>
                <w:sz w:val="18"/>
                <w:szCs w:val="18"/>
                <w:lang w:eastAsia="es-MX"/>
              </w:rPr>
            </w:pPr>
          </w:p>
        </w:tc>
        <w:tc>
          <w:tcPr>
            <w:tcW w:w="2585" w:type="pct"/>
            <w:shd w:val="clear" w:color="auto" w:fill="auto"/>
            <w:noWrap/>
            <w:hideMark/>
          </w:tcPr>
          <w:p w:rsidR="004073C0" w:rsidRPr="00275B67" w:rsidRDefault="004073C0" w:rsidP="00AE6F20">
            <w:pPr>
              <w:spacing w:before="20" w:after="20" w:line="240" w:lineRule="auto"/>
              <w:ind w:firstLine="0"/>
              <w:jc w:val="center"/>
              <w:rPr>
                <w:rFonts w:eastAsia="Times New Roman" w:cs="Arial"/>
                <w:b/>
                <w:bCs/>
                <w:sz w:val="18"/>
                <w:szCs w:val="18"/>
                <w:lang w:eastAsia="es-MX"/>
              </w:rPr>
            </w:pPr>
            <w:r w:rsidRPr="00275B67">
              <w:rPr>
                <w:rFonts w:eastAsia="Times New Roman" w:cs="Arial"/>
                <w:b/>
                <w:bCs/>
                <w:sz w:val="18"/>
                <w:szCs w:val="18"/>
                <w:lang w:eastAsia="es-MX"/>
              </w:rPr>
              <w:t>Total General</w:t>
            </w:r>
          </w:p>
        </w:tc>
        <w:tc>
          <w:tcPr>
            <w:tcW w:w="611" w:type="pct"/>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$18,633.33</w:t>
            </w:r>
          </w:p>
        </w:tc>
        <w:tc>
          <w:tcPr>
            <w:tcW w:w="494" w:type="pct"/>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$55,900.00</w:t>
            </w:r>
          </w:p>
        </w:tc>
        <w:tc>
          <w:tcPr>
            <w:tcW w:w="552" w:type="pct"/>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$204,966.67</w:t>
            </w:r>
          </w:p>
        </w:tc>
        <w:tc>
          <w:tcPr>
            <w:tcW w:w="550" w:type="pct"/>
            <w:tcBorders>
              <w:top w:val="single" w:sz="4" w:space="0" w:color="auto"/>
            </w:tcBorders>
            <w:shd w:val="clear" w:color="auto" w:fill="auto"/>
            <w:noWrap/>
            <w:hideMark/>
          </w:tcPr>
          <w:p w:rsidR="004073C0" w:rsidRPr="00275B67" w:rsidRDefault="004073C0" w:rsidP="00AE6F20">
            <w:pPr>
              <w:spacing w:before="20" w:after="20" w:line="240" w:lineRule="auto"/>
              <w:ind w:firstLine="0"/>
              <w:jc w:val="right"/>
              <w:rPr>
                <w:rFonts w:eastAsia="Times New Roman" w:cs="Arial"/>
                <w:b/>
                <w:bCs/>
                <w:sz w:val="18"/>
                <w:szCs w:val="18"/>
                <w:lang w:eastAsia="es-MX"/>
              </w:rPr>
            </w:pPr>
            <w:r w:rsidRPr="00275B67">
              <w:rPr>
                <w:rFonts w:eastAsia="Times New Roman" w:cs="Arial"/>
                <w:b/>
                <w:bCs/>
                <w:sz w:val="18"/>
                <w:szCs w:val="18"/>
                <w:lang w:eastAsia="es-MX"/>
              </w:rPr>
              <w:t>$279,500.00</w:t>
            </w:r>
          </w:p>
        </w:tc>
      </w:tr>
    </w:tbl>
    <w:p w:rsidR="004073C0" w:rsidRDefault="004073C0" w:rsidP="004073C0"/>
    <w:p w:rsidR="004073C0" w:rsidRDefault="004073C0" w:rsidP="004073C0"/>
    <w:p w:rsidR="004073C0" w:rsidRDefault="004073C0" w:rsidP="004073C0"/>
    <w:p w:rsidR="004073C0" w:rsidRPr="001A7174" w:rsidRDefault="004073C0" w:rsidP="004073C0">
      <w:pPr>
        <w:pStyle w:val="Tabla1cap12"/>
        <w:ind w:left="56" w:firstLine="10"/>
        <w:rPr>
          <w:lang w:val="es-MX"/>
        </w:rPr>
      </w:pPr>
      <w:bookmarkStart w:id="227" w:name="_Toc274661361"/>
      <w:r w:rsidRPr="001A7174">
        <w:rPr>
          <w:lang w:val="es-MX"/>
        </w:rPr>
        <w:t>Inversión total estimada para el Objetivo 5, por acuífero (miles de $).</w:t>
      </w:r>
      <w:bookmarkEnd w:id="227"/>
    </w:p>
    <w:tbl>
      <w:tblPr>
        <w:tblW w:w="5070" w:type="pct"/>
        <w:tblBorders>
          <w:top w:val="single" w:sz="12" w:space="0" w:color="008000"/>
          <w:bottom w:val="single" w:sz="12" w:space="0" w:color="008000"/>
        </w:tblBorders>
        <w:tblLayout w:type="fixed"/>
        <w:tblLook w:val="04A0"/>
      </w:tblPr>
      <w:tblGrid>
        <w:gridCol w:w="390"/>
        <w:gridCol w:w="6947"/>
        <w:gridCol w:w="1427"/>
        <w:gridCol w:w="1406"/>
        <w:gridCol w:w="1296"/>
        <w:gridCol w:w="195"/>
        <w:gridCol w:w="1157"/>
        <w:gridCol w:w="13"/>
      </w:tblGrid>
      <w:tr w:rsidR="004073C0" w:rsidRPr="00C25AFF" w:rsidTr="00AE6F20">
        <w:trPr>
          <w:gridAfter w:val="1"/>
          <w:wAfter w:w="5" w:type="pct"/>
          <w:trHeight w:val="255"/>
        </w:trPr>
        <w:tc>
          <w:tcPr>
            <w:tcW w:w="152" w:type="pct"/>
            <w:tcBorders>
              <w:bottom w:val="single" w:sz="6" w:space="0" w:color="008000"/>
            </w:tcBorders>
            <w:vAlign w:val="center"/>
          </w:tcPr>
          <w:p w:rsidR="004073C0" w:rsidRPr="00C25AFF" w:rsidRDefault="004073C0" w:rsidP="00AE6F20">
            <w:pPr>
              <w:tabs>
                <w:tab w:val="left" w:pos="319"/>
              </w:tabs>
              <w:spacing w:before="20" w:after="20" w:line="240" w:lineRule="auto"/>
              <w:ind w:hanging="142"/>
              <w:jc w:val="center"/>
              <w:rPr>
                <w:rFonts w:eastAsia="Times New Roman" w:cs="Arial"/>
                <w:b/>
                <w:bCs/>
                <w:sz w:val="20"/>
                <w:lang w:eastAsia="es-MX"/>
              </w:rPr>
            </w:pPr>
            <w:r w:rsidRPr="00C25AFF">
              <w:rPr>
                <w:rFonts w:eastAsia="Times New Roman" w:cs="Arial"/>
                <w:b/>
                <w:bCs/>
                <w:sz w:val="20"/>
                <w:lang w:eastAsia="es-MX"/>
              </w:rPr>
              <w:t>No</w:t>
            </w:r>
          </w:p>
        </w:tc>
        <w:tc>
          <w:tcPr>
            <w:tcW w:w="2707"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56"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Huamantla</w:t>
            </w:r>
          </w:p>
        </w:tc>
        <w:tc>
          <w:tcPr>
            <w:tcW w:w="548"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Libres-Oriental</w:t>
            </w:r>
          </w:p>
        </w:tc>
        <w:tc>
          <w:tcPr>
            <w:tcW w:w="581" w:type="pct"/>
            <w:gridSpan w:val="2"/>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Perote-Zalayeta</w:t>
            </w:r>
          </w:p>
        </w:tc>
        <w:tc>
          <w:tcPr>
            <w:tcW w:w="451" w:type="pct"/>
            <w:tcBorders>
              <w:bottom w:val="single" w:sz="6" w:space="0" w:color="008000"/>
            </w:tcBorders>
            <w:shd w:val="clear" w:color="auto" w:fill="auto"/>
            <w:noWrap/>
            <w:vAlign w:val="center"/>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1</w:t>
            </w: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Comunicación y difusión</w:t>
            </w:r>
          </w:p>
        </w:tc>
        <w:tc>
          <w:tcPr>
            <w:tcW w:w="55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$70,312.55</w:t>
            </w:r>
          </w:p>
        </w:tc>
        <w:tc>
          <w:tcPr>
            <w:tcW w:w="548"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$76,610.80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$73,042.76</w:t>
            </w:r>
          </w:p>
        </w:tc>
        <w:tc>
          <w:tcPr>
            <w:tcW w:w="532" w:type="pct"/>
            <w:gridSpan w:val="3"/>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$219,966.11</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 xml:space="preserve">Creación del programa de ahorro y cultura del agua </w:t>
            </w:r>
          </w:p>
        </w:tc>
        <w:tc>
          <w:tcPr>
            <w:tcW w:w="55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$65,362.55</w:t>
            </w:r>
          </w:p>
        </w:tc>
        <w:tc>
          <w:tcPr>
            <w:tcW w:w="54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$71,660.80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$67,942.76</w:t>
            </w:r>
          </w:p>
        </w:tc>
        <w:tc>
          <w:tcPr>
            <w:tcW w:w="532" w:type="pct"/>
            <w:gridSpan w:val="3"/>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$204,966.11</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Eficiencia en el consumo</w:t>
            </w:r>
          </w:p>
        </w:tc>
        <w:tc>
          <w:tcPr>
            <w:tcW w:w="55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$4,950.00</w:t>
            </w:r>
          </w:p>
        </w:tc>
        <w:tc>
          <w:tcPr>
            <w:tcW w:w="54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$4,950.00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$5,100.00</w:t>
            </w:r>
          </w:p>
        </w:tc>
        <w:tc>
          <w:tcPr>
            <w:tcW w:w="532" w:type="pct"/>
            <w:gridSpan w:val="3"/>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2</w:t>
            </w: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Consolidación técnica y financiera del COTAS HLOP</w:t>
            </w:r>
          </w:p>
        </w:tc>
        <w:tc>
          <w:tcPr>
            <w:tcW w:w="55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$38,277.00</w:t>
            </w:r>
          </w:p>
        </w:tc>
        <w:tc>
          <w:tcPr>
            <w:tcW w:w="548"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$38,277.00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$20,346.00</w:t>
            </w:r>
          </w:p>
        </w:tc>
        <w:tc>
          <w:tcPr>
            <w:tcW w:w="532" w:type="pct"/>
            <w:gridSpan w:val="3"/>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$96,900.00</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 xml:space="preserve">Colaboración con centros de investigación, instituciones educativas y otros </w:t>
            </w:r>
          </w:p>
        </w:tc>
        <w:tc>
          <w:tcPr>
            <w:tcW w:w="55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$36,297.00</w:t>
            </w:r>
          </w:p>
        </w:tc>
        <w:tc>
          <w:tcPr>
            <w:tcW w:w="54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$36,297.00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$18,306.00</w:t>
            </w:r>
          </w:p>
        </w:tc>
        <w:tc>
          <w:tcPr>
            <w:tcW w:w="532" w:type="pct"/>
            <w:gridSpan w:val="3"/>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$90,900.00</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Consolidación administrativa del COTAS</w:t>
            </w:r>
          </w:p>
        </w:tc>
        <w:tc>
          <w:tcPr>
            <w:tcW w:w="55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$1,980.00</w:t>
            </w:r>
          </w:p>
        </w:tc>
        <w:tc>
          <w:tcPr>
            <w:tcW w:w="54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$1,980.00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$2,040.00</w:t>
            </w:r>
          </w:p>
        </w:tc>
        <w:tc>
          <w:tcPr>
            <w:tcW w:w="532" w:type="pct"/>
            <w:gridSpan w:val="3"/>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$6,000.00</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3</w:t>
            </w: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Reglamentación del manejo del agua subterránea</w:t>
            </w:r>
          </w:p>
        </w:tc>
        <w:tc>
          <w:tcPr>
            <w:tcW w:w="556"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$1,320.00</w:t>
            </w:r>
          </w:p>
        </w:tc>
        <w:tc>
          <w:tcPr>
            <w:tcW w:w="548"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$1,320.00</w:t>
            </w:r>
          </w:p>
        </w:tc>
        <w:tc>
          <w:tcPr>
            <w:tcW w:w="505"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$1,360.00</w:t>
            </w:r>
          </w:p>
        </w:tc>
        <w:tc>
          <w:tcPr>
            <w:tcW w:w="532" w:type="pct"/>
            <w:gridSpan w:val="3"/>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$4,000.00</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70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Reglamentación del manejo del agua subterránea e incentivos a usuarios</w:t>
            </w:r>
          </w:p>
        </w:tc>
        <w:tc>
          <w:tcPr>
            <w:tcW w:w="556"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$1,320.00</w:t>
            </w:r>
          </w:p>
        </w:tc>
        <w:tc>
          <w:tcPr>
            <w:tcW w:w="548"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$1,320.00</w:t>
            </w:r>
          </w:p>
        </w:tc>
        <w:tc>
          <w:tcPr>
            <w:tcW w:w="505"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$1,360.00</w:t>
            </w:r>
          </w:p>
        </w:tc>
        <w:tc>
          <w:tcPr>
            <w:tcW w:w="532" w:type="pct"/>
            <w:gridSpan w:val="3"/>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$4,000.00</w:t>
            </w:r>
          </w:p>
        </w:tc>
      </w:tr>
      <w:tr w:rsidR="004073C0" w:rsidRPr="00C25AFF" w:rsidTr="00AE6F20">
        <w:trPr>
          <w:trHeight w:val="255"/>
        </w:trPr>
        <w:tc>
          <w:tcPr>
            <w:tcW w:w="152" w:type="pct"/>
          </w:tcPr>
          <w:p w:rsidR="004073C0" w:rsidRPr="00C25AFF" w:rsidRDefault="004073C0" w:rsidP="00AE6F20">
            <w:pPr>
              <w:spacing w:before="20" w:after="20" w:line="240" w:lineRule="auto"/>
              <w:ind w:firstLine="0"/>
              <w:jc w:val="right"/>
              <w:rPr>
                <w:rFonts w:eastAsia="Times New Roman" w:cs="Arial"/>
                <w:b/>
                <w:bCs/>
                <w:sz w:val="20"/>
                <w:lang w:eastAsia="es-MX"/>
              </w:rPr>
            </w:pPr>
          </w:p>
        </w:tc>
        <w:tc>
          <w:tcPr>
            <w:tcW w:w="2707"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556"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$109,909.55</w:t>
            </w:r>
          </w:p>
        </w:tc>
        <w:tc>
          <w:tcPr>
            <w:tcW w:w="548"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$116,207.80</w:t>
            </w:r>
          </w:p>
        </w:tc>
        <w:tc>
          <w:tcPr>
            <w:tcW w:w="505"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$94,748.76</w:t>
            </w:r>
          </w:p>
        </w:tc>
        <w:tc>
          <w:tcPr>
            <w:tcW w:w="532" w:type="pct"/>
            <w:gridSpan w:val="3"/>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$320,866.11</w:t>
            </w:r>
          </w:p>
        </w:tc>
      </w:tr>
    </w:tbl>
    <w:p w:rsidR="004073C0" w:rsidRDefault="004073C0" w:rsidP="004073C0">
      <w:pPr>
        <w:ind w:firstLine="0"/>
      </w:pPr>
    </w:p>
    <w:p w:rsidR="004073C0" w:rsidRPr="001A7174" w:rsidRDefault="004073C0" w:rsidP="004073C0">
      <w:pPr>
        <w:pStyle w:val="Tabla1cap12"/>
        <w:ind w:left="56" w:firstLine="10"/>
        <w:rPr>
          <w:lang w:val="es-MX"/>
        </w:rPr>
      </w:pPr>
      <w:bookmarkStart w:id="228" w:name="_Toc274661362"/>
      <w:r w:rsidRPr="001A7174">
        <w:rPr>
          <w:lang w:val="es-MX"/>
        </w:rPr>
        <w:t>Inversión total estimada para el Objetivo 5, por periodo (miles de $).</w:t>
      </w:r>
      <w:bookmarkEnd w:id="228"/>
    </w:p>
    <w:tbl>
      <w:tblPr>
        <w:tblW w:w="5097" w:type="pct"/>
        <w:tblBorders>
          <w:top w:val="single" w:sz="12" w:space="0" w:color="008000"/>
          <w:bottom w:val="single" w:sz="12" w:space="0" w:color="008000"/>
        </w:tblBorders>
        <w:tblLayout w:type="fixed"/>
        <w:tblLook w:val="04A0"/>
      </w:tblPr>
      <w:tblGrid>
        <w:gridCol w:w="527"/>
        <w:gridCol w:w="6955"/>
        <w:gridCol w:w="1277"/>
        <w:gridCol w:w="1277"/>
        <w:gridCol w:w="1452"/>
        <w:gridCol w:w="1411"/>
      </w:tblGrid>
      <w:tr w:rsidR="004073C0" w:rsidRPr="00C25AFF" w:rsidTr="00AE6F20">
        <w:trPr>
          <w:trHeight w:val="255"/>
        </w:trPr>
        <w:tc>
          <w:tcPr>
            <w:tcW w:w="204" w:type="pct"/>
            <w:tcBorders>
              <w:bottom w:val="single" w:sz="6" w:space="0" w:color="008000"/>
            </w:tcBorders>
          </w:tcPr>
          <w:p w:rsidR="004073C0" w:rsidRPr="00C25AFF" w:rsidRDefault="004073C0" w:rsidP="00AE6F20">
            <w:pPr>
              <w:spacing w:before="20" w:after="20" w:line="240" w:lineRule="auto"/>
              <w:ind w:hanging="22"/>
              <w:jc w:val="center"/>
              <w:rPr>
                <w:rFonts w:eastAsia="Times New Roman" w:cs="Arial"/>
                <w:b/>
                <w:bCs/>
                <w:sz w:val="20"/>
                <w:lang w:eastAsia="es-MX"/>
              </w:rPr>
            </w:pPr>
            <w:r w:rsidRPr="00C25AFF">
              <w:rPr>
                <w:rFonts w:eastAsia="Times New Roman" w:cs="Arial"/>
                <w:b/>
                <w:bCs/>
                <w:sz w:val="20"/>
                <w:lang w:eastAsia="es-MX"/>
              </w:rPr>
              <w:t>No.</w:t>
            </w:r>
          </w:p>
        </w:tc>
        <w:tc>
          <w:tcPr>
            <w:tcW w:w="2695"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495"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2011-2012</w:t>
            </w:r>
          </w:p>
        </w:tc>
        <w:tc>
          <w:tcPr>
            <w:tcW w:w="495"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563"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54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1</w:t>
            </w: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Comunicación y difusión</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14664.41</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$43,993.22</w:t>
            </w:r>
          </w:p>
        </w:tc>
        <w:tc>
          <w:tcPr>
            <w:tcW w:w="563"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$161,308.48</w:t>
            </w:r>
          </w:p>
        </w:tc>
        <w:tc>
          <w:tcPr>
            <w:tcW w:w="54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$219,966.11</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 xml:space="preserve">Creación del programa de ahorro y cultura del agua </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13664.41</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$40,993.22</w:t>
            </w:r>
          </w:p>
        </w:tc>
        <w:tc>
          <w:tcPr>
            <w:tcW w:w="563"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$150,308.48</w:t>
            </w:r>
          </w:p>
        </w:tc>
        <w:tc>
          <w:tcPr>
            <w:tcW w:w="54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$204,966.11</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Eficiencia en el consumo</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$3,000.00</w:t>
            </w:r>
          </w:p>
        </w:tc>
        <w:tc>
          <w:tcPr>
            <w:tcW w:w="563"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$11,000.00</w:t>
            </w:r>
          </w:p>
        </w:tc>
        <w:tc>
          <w:tcPr>
            <w:tcW w:w="54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$15,000.00</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2</w:t>
            </w: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Consolidación técnica y financiera del COTAS HLOP</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6460.00</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$19,380.00</w:t>
            </w:r>
          </w:p>
        </w:tc>
        <w:tc>
          <w:tcPr>
            <w:tcW w:w="563"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$71,060.00</w:t>
            </w:r>
          </w:p>
        </w:tc>
        <w:tc>
          <w:tcPr>
            <w:tcW w:w="54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$96,900.00</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 xml:space="preserve">Colaboración con centros de investigación, instituciones educativas y otros </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6060.00</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$18,180.00</w:t>
            </w:r>
          </w:p>
        </w:tc>
        <w:tc>
          <w:tcPr>
            <w:tcW w:w="563"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$66,660.00</w:t>
            </w:r>
          </w:p>
        </w:tc>
        <w:tc>
          <w:tcPr>
            <w:tcW w:w="54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$90,900.00</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Consolidación administrativa del COTAS</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400.00</w:t>
            </w:r>
          </w:p>
        </w:tc>
        <w:tc>
          <w:tcPr>
            <w:tcW w:w="49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$1,200.00</w:t>
            </w:r>
          </w:p>
        </w:tc>
        <w:tc>
          <w:tcPr>
            <w:tcW w:w="563"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$4,400.00</w:t>
            </w:r>
          </w:p>
        </w:tc>
        <w:tc>
          <w:tcPr>
            <w:tcW w:w="54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$6,000.00</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3</w:t>
            </w: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Reglamentación del manejo del agua subterránea</w:t>
            </w:r>
          </w:p>
        </w:tc>
        <w:tc>
          <w:tcPr>
            <w:tcW w:w="495"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266.67</w:t>
            </w:r>
          </w:p>
        </w:tc>
        <w:tc>
          <w:tcPr>
            <w:tcW w:w="495"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$2,000.00</w:t>
            </w:r>
          </w:p>
        </w:tc>
        <w:tc>
          <w:tcPr>
            <w:tcW w:w="563"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$1,733.33</w:t>
            </w:r>
          </w:p>
        </w:tc>
        <w:tc>
          <w:tcPr>
            <w:tcW w:w="54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$4,000.00</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left"/>
              <w:rPr>
                <w:rFonts w:eastAsia="Times New Roman" w:cs="Arial"/>
                <w:sz w:val="20"/>
                <w:lang w:eastAsia="es-MX"/>
              </w:rPr>
            </w:pPr>
          </w:p>
        </w:tc>
        <w:tc>
          <w:tcPr>
            <w:tcW w:w="2695"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Reglamentación del manejo del agua subterránea e incentivos a usuarios</w:t>
            </w:r>
          </w:p>
        </w:tc>
        <w:tc>
          <w:tcPr>
            <w:tcW w:w="495"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266.67</w:t>
            </w:r>
          </w:p>
        </w:tc>
        <w:tc>
          <w:tcPr>
            <w:tcW w:w="495"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$2,000.00</w:t>
            </w:r>
          </w:p>
        </w:tc>
        <w:tc>
          <w:tcPr>
            <w:tcW w:w="563"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$1,733.33</w:t>
            </w:r>
          </w:p>
        </w:tc>
        <w:tc>
          <w:tcPr>
            <w:tcW w:w="547"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$4,000.00</w:t>
            </w:r>
          </w:p>
        </w:tc>
      </w:tr>
      <w:tr w:rsidR="004073C0" w:rsidRPr="00C25AFF" w:rsidTr="00AE6F20">
        <w:trPr>
          <w:trHeight w:val="255"/>
        </w:trPr>
        <w:tc>
          <w:tcPr>
            <w:tcW w:w="204" w:type="pct"/>
          </w:tcPr>
          <w:p w:rsidR="004073C0" w:rsidRPr="00C25AFF" w:rsidRDefault="004073C0" w:rsidP="00AE6F20">
            <w:pPr>
              <w:spacing w:before="20" w:after="20" w:line="240" w:lineRule="auto"/>
              <w:ind w:firstLine="0"/>
              <w:jc w:val="center"/>
              <w:rPr>
                <w:rFonts w:eastAsia="Times New Roman" w:cs="Arial"/>
                <w:b/>
                <w:bCs/>
                <w:sz w:val="20"/>
                <w:lang w:eastAsia="es-MX"/>
              </w:rPr>
            </w:pPr>
          </w:p>
        </w:tc>
        <w:tc>
          <w:tcPr>
            <w:tcW w:w="2695"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495"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$2,1391.07</w:t>
            </w:r>
          </w:p>
        </w:tc>
        <w:tc>
          <w:tcPr>
            <w:tcW w:w="495"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$65,373.22</w:t>
            </w:r>
          </w:p>
        </w:tc>
        <w:tc>
          <w:tcPr>
            <w:tcW w:w="563"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$234,101.81</w:t>
            </w:r>
          </w:p>
        </w:tc>
        <w:tc>
          <w:tcPr>
            <w:tcW w:w="547"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$320,866.11</w:t>
            </w:r>
          </w:p>
        </w:tc>
      </w:tr>
    </w:tbl>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Pr="001A7174" w:rsidRDefault="004073C0" w:rsidP="004073C0">
      <w:pPr>
        <w:pStyle w:val="Tabla1cap12"/>
        <w:ind w:left="56" w:firstLine="10"/>
        <w:rPr>
          <w:lang w:val="es-MX"/>
        </w:rPr>
      </w:pPr>
      <w:bookmarkStart w:id="229" w:name="_Toc274661363"/>
      <w:r w:rsidRPr="001A7174">
        <w:rPr>
          <w:lang w:val="es-MX"/>
        </w:rPr>
        <w:t>Inversión total estimada para el Objetivo 6, por acuífero (miles de $).</w:t>
      </w:r>
      <w:bookmarkEnd w:id="229"/>
    </w:p>
    <w:tbl>
      <w:tblPr>
        <w:tblW w:w="4971" w:type="pct"/>
        <w:tblBorders>
          <w:top w:val="single" w:sz="12" w:space="0" w:color="008000"/>
          <w:bottom w:val="single" w:sz="12" w:space="0" w:color="008000"/>
        </w:tblBorders>
        <w:tblLayout w:type="fixed"/>
        <w:tblLook w:val="04A0"/>
      </w:tblPr>
      <w:tblGrid>
        <w:gridCol w:w="9041"/>
        <w:gridCol w:w="1985"/>
        <w:gridCol w:w="1555"/>
      </w:tblGrid>
      <w:tr w:rsidR="004073C0" w:rsidRPr="00C25AFF" w:rsidTr="00AE6F20">
        <w:trPr>
          <w:trHeight w:val="255"/>
        </w:trPr>
        <w:tc>
          <w:tcPr>
            <w:tcW w:w="3592"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789"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HLOP</w:t>
            </w:r>
          </w:p>
        </w:tc>
        <w:tc>
          <w:tcPr>
            <w:tcW w:w="618"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Investigación y tecnología de adaptación y mitigación a sequías</w:t>
            </w:r>
          </w:p>
        </w:tc>
        <w:tc>
          <w:tcPr>
            <w:tcW w:w="789"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$5,000.00</w:t>
            </w:r>
          </w:p>
        </w:tc>
        <w:tc>
          <w:tcPr>
            <w:tcW w:w="618"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$5,000.00</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Investigación</w:t>
            </w:r>
          </w:p>
        </w:tc>
        <w:tc>
          <w:tcPr>
            <w:tcW w:w="78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$5,000.00</w:t>
            </w:r>
          </w:p>
        </w:tc>
        <w:tc>
          <w:tcPr>
            <w:tcW w:w="61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$5,000.00</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Organización de usuarios</w:t>
            </w:r>
          </w:p>
        </w:tc>
        <w:tc>
          <w:tcPr>
            <w:tcW w:w="789"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$6,000.00</w:t>
            </w:r>
          </w:p>
        </w:tc>
        <w:tc>
          <w:tcPr>
            <w:tcW w:w="618"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$6,000.00</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Capacitación</w:t>
            </w:r>
          </w:p>
        </w:tc>
        <w:tc>
          <w:tcPr>
            <w:tcW w:w="789"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$6,000.00</w:t>
            </w:r>
          </w:p>
        </w:tc>
        <w:tc>
          <w:tcPr>
            <w:tcW w:w="61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$6,000.00</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 xml:space="preserve">Protección ambiental y civil </w:t>
            </w:r>
          </w:p>
        </w:tc>
        <w:tc>
          <w:tcPr>
            <w:tcW w:w="789"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$11,000.00</w:t>
            </w:r>
          </w:p>
        </w:tc>
        <w:tc>
          <w:tcPr>
            <w:tcW w:w="618"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$11,000.00</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Estudios y proyectos</w:t>
            </w:r>
          </w:p>
        </w:tc>
        <w:tc>
          <w:tcPr>
            <w:tcW w:w="789"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$11,000.00</w:t>
            </w:r>
          </w:p>
        </w:tc>
        <w:tc>
          <w:tcPr>
            <w:tcW w:w="618"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$11,000.00</w:t>
            </w:r>
          </w:p>
        </w:tc>
      </w:tr>
      <w:tr w:rsidR="004073C0" w:rsidRPr="00C25AFF" w:rsidTr="00AE6F20">
        <w:trPr>
          <w:trHeight w:val="255"/>
        </w:trPr>
        <w:tc>
          <w:tcPr>
            <w:tcW w:w="3592"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789"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$22,000.00</w:t>
            </w:r>
          </w:p>
        </w:tc>
        <w:tc>
          <w:tcPr>
            <w:tcW w:w="618"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$22,000.00</w:t>
            </w:r>
          </w:p>
        </w:tc>
      </w:tr>
    </w:tbl>
    <w:p w:rsidR="004073C0" w:rsidRDefault="004073C0" w:rsidP="004073C0"/>
    <w:p w:rsidR="004073C0" w:rsidRPr="001A7174" w:rsidRDefault="004073C0" w:rsidP="004073C0">
      <w:pPr>
        <w:pStyle w:val="Tabla1cap12"/>
        <w:ind w:left="56" w:firstLine="10"/>
        <w:rPr>
          <w:lang w:val="es-MX"/>
        </w:rPr>
      </w:pPr>
      <w:bookmarkStart w:id="230" w:name="_Toc274661364"/>
      <w:r w:rsidRPr="001A7174">
        <w:rPr>
          <w:lang w:val="es-MX"/>
        </w:rPr>
        <w:t>Inversión total estimada para el Objetivo 6, por periodo (miles de $).</w:t>
      </w:r>
      <w:bookmarkEnd w:id="230"/>
    </w:p>
    <w:tbl>
      <w:tblPr>
        <w:tblW w:w="5000" w:type="pct"/>
        <w:tblBorders>
          <w:top w:val="single" w:sz="12" w:space="0" w:color="008000"/>
          <w:bottom w:val="single" w:sz="12" w:space="0" w:color="008000"/>
        </w:tblBorders>
        <w:tblLayout w:type="fixed"/>
        <w:tblLook w:val="04A0"/>
      </w:tblPr>
      <w:tblGrid>
        <w:gridCol w:w="6634"/>
        <w:gridCol w:w="1698"/>
        <w:gridCol w:w="1417"/>
        <w:gridCol w:w="1417"/>
        <w:gridCol w:w="1488"/>
      </w:tblGrid>
      <w:tr w:rsidR="004073C0" w:rsidRPr="00C25AFF" w:rsidTr="00AE6F20">
        <w:trPr>
          <w:trHeight w:val="255"/>
        </w:trPr>
        <w:tc>
          <w:tcPr>
            <w:tcW w:w="2621"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671"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2011-2012</w:t>
            </w:r>
          </w:p>
        </w:tc>
        <w:tc>
          <w:tcPr>
            <w:tcW w:w="560"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560"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588"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Investigación y tecnología de adaptación y mitigación a sequías</w:t>
            </w:r>
          </w:p>
        </w:tc>
        <w:tc>
          <w:tcPr>
            <w:tcW w:w="671"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$3,000.00</w:t>
            </w:r>
          </w:p>
        </w:tc>
        <w:tc>
          <w:tcPr>
            <w:tcW w:w="588"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$5,000.00</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Investigación</w:t>
            </w:r>
          </w:p>
        </w:tc>
        <w:tc>
          <w:tcPr>
            <w:tcW w:w="671"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$3,000.00</w:t>
            </w:r>
          </w:p>
        </w:tc>
        <w:tc>
          <w:tcPr>
            <w:tcW w:w="58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$5,000.00</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Organización de usuarios</w:t>
            </w:r>
          </w:p>
        </w:tc>
        <w:tc>
          <w:tcPr>
            <w:tcW w:w="671"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$396.09</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$1,188.27</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$4,415.64</w:t>
            </w:r>
          </w:p>
        </w:tc>
        <w:tc>
          <w:tcPr>
            <w:tcW w:w="588"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$6,000.00</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Capacitación</w:t>
            </w:r>
          </w:p>
        </w:tc>
        <w:tc>
          <w:tcPr>
            <w:tcW w:w="671"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$396.09</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$1,188.27</w:t>
            </w:r>
          </w:p>
        </w:tc>
        <w:tc>
          <w:tcPr>
            <w:tcW w:w="560"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$4,415.64</w:t>
            </w:r>
          </w:p>
        </w:tc>
        <w:tc>
          <w:tcPr>
            <w:tcW w:w="588"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$6,000.00</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 xml:space="preserve">Protección ambiental y civil </w:t>
            </w:r>
          </w:p>
        </w:tc>
        <w:tc>
          <w:tcPr>
            <w:tcW w:w="671"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$2,200.00</w:t>
            </w:r>
          </w:p>
        </w:tc>
        <w:tc>
          <w:tcPr>
            <w:tcW w:w="560"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$2,200.00</w:t>
            </w:r>
          </w:p>
        </w:tc>
        <w:tc>
          <w:tcPr>
            <w:tcW w:w="560"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$6,600.00</w:t>
            </w:r>
          </w:p>
        </w:tc>
        <w:tc>
          <w:tcPr>
            <w:tcW w:w="588"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$11,000.00</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Estudios y proyectos</w:t>
            </w:r>
          </w:p>
        </w:tc>
        <w:tc>
          <w:tcPr>
            <w:tcW w:w="671"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$2,200.00</w:t>
            </w:r>
          </w:p>
        </w:tc>
        <w:tc>
          <w:tcPr>
            <w:tcW w:w="560"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$2,200.00</w:t>
            </w:r>
          </w:p>
        </w:tc>
        <w:tc>
          <w:tcPr>
            <w:tcW w:w="560"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$6,600.00</w:t>
            </w:r>
          </w:p>
        </w:tc>
        <w:tc>
          <w:tcPr>
            <w:tcW w:w="588"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$11,000.00</w:t>
            </w:r>
          </w:p>
        </w:tc>
      </w:tr>
      <w:tr w:rsidR="004073C0" w:rsidRPr="00C25AFF" w:rsidTr="00AE6F20">
        <w:trPr>
          <w:trHeight w:val="255"/>
        </w:trPr>
        <w:tc>
          <w:tcPr>
            <w:tcW w:w="2621" w:type="pct"/>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671"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$3,596.09</w:t>
            </w:r>
          </w:p>
        </w:tc>
        <w:tc>
          <w:tcPr>
            <w:tcW w:w="560"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$4,388.27</w:t>
            </w:r>
          </w:p>
        </w:tc>
        <w:tc>
          <w:tcPr>
            <w:tcW w:w="560"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$14,015.64</w:t>
            </w:r>
          </w:p>
        </w:tc>
        <w:tc>
          <w:tcPr>
            <w:tcW w:w="588"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$22,000.00</w:t>
            </w:r>
          </w:p>
        </w:tc>
      </w:tr>
    </w:tbl>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Pr="001A7174" w:rsidRDefault="004073C0" w:rsidP="004073C0">
      <w:pPr>
        <w:pStyle w:val="Tabla1cap12"/>
        <w:ind w:left="56" w:firstLine="10"/>
        <w:rPr>
          <w:lang w:val="es-MX"/>
        </w:rPr>
      </w:pPr>
      <w:bookmarkStart w:id="231" w:name="_Toc274661365"/>
      <w:r w:rsidRPr="001A7174">
        <w:rPr>
          <w:lang w:val="es-MX"/>
        </w:rPr>
        <w:t>Inversión total estimada para el Objetivo 7, por acuífero (miles de $).</w:t>
      </w:r>
      <w:bookmarkEnd w:id="231"/>
    </w:p>
    <w:tbl>
      <w:tblPr>
        <w:tblW w:w="5000" w:type="pct"/>
        <w:tblBorders>
          <w:top w:val="single" w:sz="12" w:space="0" w:color="008000"/>
          <w:bottom w:val="single" w:sz="12" w:space="0" w:color="008000"/>
        </w:tblBorders>
        <w:tblLook w:val="04A0"/>
      </w:tblPr>
      <w:tblGrid>
        <w:gridCol w:w="10265"/>
        <w:gridCol w:w="1283"/>
        <w:gridCol w:w="1106"/>
      </w:tblGrid>
      <w:tr w:rsidR="004073C0" w:rsidRPr="00C25AFF" w:rsidTr="00AE6F20">
        <w:trPr>
          <w:trHeight w:val="255"/>
        </w:trPr>
        <w:tc>
          <w:tcPr>
            <w:tcW w:w="4056"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0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HLOP</w:t>
            </w:r>
          </w:p>
        </w:tc>
        <w:tc>
          <w:tcPr>
            <w:tcW w:w="43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4056"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Definición de soluciones para el deterioro ambiental de elementos directamente relacionados con el agua</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$2,000.00</w:t>
            </w:r>
          </w:p>
        </w:tc>
        <w:tc>
          <w:tcPr>
            <w:tcW w:w="43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$2,000.00</w:t>
            </w:r>
          </w:p>
        </w:tc>
      </w:tr>
      <w:tr w:rsidR="004073C0" w:rsidRPr="00C25AFF" w:rsidTr="00AE6F20">
        <w:trPr>
          <w:trHeight w:val="255"/>
        </w:trPr>
        <w:tc>
          <w:tcPr>
            <w:tcW w:w="4056"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Definición de soluciones para el deterioro ambiental de elementos directamente relacionados con el agua</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$2,000.00</w:t>
            </w:r>
          </w:p>
        </w:tc>
        <w:tc>
          <w:tcPr>
            <w:tcW w:w="43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$2,000.00</w:t>
            </w:r>
          </w:p>
        </w:tc>
      </w:tr>
      <w:tr w:rsidR="004073C0" w:rsidRPr="00C25AFF" w:rsidTr="00AE6F20">
        <w:trPr>
          <w:trHeight w:val="255"/>
        </w:trPr>
        <w:tc>
          <w:tcPr>
            <w:tcW w:w="4056"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Investigación del cambio climático y su incidencia en el ciclo hidrológico</w:t>
            </w:r>
          </w:p>
        </w:tc>
        <w:tc>
          <w:tcPr>
            <w:tcW w:w="50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$3,600.00</w:t>
            </w:r>
          </w:p>
        </w:tc>
        <w:tc>
          <w:tcPr>
            <w:tcW w:w="43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$3,600.00</w:t>
            </w:r>
          </w:p>
        </w:tc>
      </w:tr>
      <w:tr w:rsidR="004073C0" w:rsidRPr="00C25AFF" w:rsidTr="00AE6F20">
        <w:trPr>
          <w:trHeight w:val="255"/>
        </w:trPr>
        <w:tc>
          <w:tcPr>
            <w:tcW w:w="4056"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Investigación del cambio climático y su incidencia en el ciclo hidrológico</w:t>
            </w:r>
          </w:p>
        </w:tc>
        <w:tc>
          <w:tcPr>
            <w:tcW w:w="507"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$3,600.00</w:t>
            </w:r>
          </w:p>
        </w:tc>
        <w:tc>
          <w:tcPr>
            <w:tcW w:w="437"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$3,600.00</w:t>
            </w:r>
          </w:p>
        </w:tc>
      </w:tr>
      <w:tr w:rsidR="004073C0" w:rsidRPr="00C25AFF" w:rsidTr="00AE6F20">
        <w:trPr>
          <w:trHeight w:val="255"/>
        </w:trPr>
        <w:tc>
          <w:tcPr>
            <w:tcW w:w="405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Total General</w:t>
            </w:r>
          </w:p>
        </w:tc>
        <w:tc>
          <w:tcPr>
            <w:tcW w:w="507"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$5,600.00</w:t>
            </w:r>
          </w:p>
        </w:tc>
        <w:tc>
          <w:tcPr>
            <w:tcW w:w="437"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$5,600.00</w:t>
            </w:r>
          </w:p>
        </w:tc>
      </w:tr>
    </w:tbl>
    <w:p w:rsidR="004073C0" w:rsidRDefault="004073C0" w:rsidP="004073C0">
      <w:pPr>
        <w:ind w:firstLine="0"/>
      </w:pPr>
    </w:p>
    <w:p w:rsidR="004073C0" w:rsidRPr="001A7174" w:rsidRDefault="004073C0" w:rsidP="004073C0">
      <w:pPr>
        <w:pStyle w:val="Tabla1cap12"/>
        <w:ind w:left="56" w:firstLine="10"/>
        <w:rPr>
          <w:lang w:val="es-MX"/>
        </w:rPr>
      </w:pPr>
      <w:bookmarkStart w:id="232" w:name="_Toc274661366"/>
      <w:r w:rsidRPr="001A7174">
        <w:rPr>
          <w:lang w:val="es-MX"/>
        </w:rPr>
        <w:t>Inversión total estimada para el Objetivo 7, por periodo (miles de $).</w:t>
      </w:r>
      <w:bookmarkEnd w:id="232"/>
    </w:p>
    <w:tbl>
      <w:tblPr>
        <w:tblW w:w="4966" w:type="pct"/>
        <w:tblBorders>
          <w:top w:val="single" w:sz="12" w:space="0" w:color="008000"/>
          <w:bottom w:val="single" w:sz="12" w:space="0" w:color="008000"/>
        </w:tblBorders>
        <w:tblLayout w:type="fixed"/>
        <w:tblLook w:val="04A0"/>
      </w:tblPr>
      <w:tblGrid>
        <w:gridCol w:w="7623"/>
        <w:gridCol w:w="1267"/>
        <w:gridCol w:w="1272"/>
        <w:gridCol w:w="1272"/>
        <w:gridCol w:w="1134"/>
      </w:tblGrid>
      <w:tr w:rsidR="004073C0" w:rsidRPr="00C25AFF" w:rsidTr="00AE6F20">
        <w:trPr>
          <w:trHeight w:val="255"/>
        </w:trPr>
        <w:tc>
          <w:tcPr>
            <w:tcW w:w="3032"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0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2011-2012</w:t>
            </w:r>
          </w:p>
        </w:tc>
        <w:tc>
          <w:tcPr>
            <w:tcW w:w="506"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506"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451"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303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Definición de soluciones para el deterioro ambiental de elementos directamente relacionados con el agua</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$0.00</w:t>
            </w:r>
          </w:p>
        </w:tc>
        <w:tc>
          <w:tcPr>
            <w:tcW w:w="451"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$2,000.00</w:t>
            </w:r>
          </w:p>
        </w:tc>
      </w:tr>
      <w:tr w:rsidR="004073C0" w:rsidRPr="00C25AFF" w:rsidTr="00AE6F20">
        <w:trPr>
          <w:trHeight w:val="255"/>
        </w:trPr>
        <w:tc>
          <w:tcPr>
            <w:tcW w:w="303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Definición de soluciones para el deterioro ambiental de elementos directamente relacionados con el agua</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$0.00</w:t>
            </w:r>
          </w:p>
        </w:tc>
        <w:tc>
          <w:tcPr>
            <w:tcW w:w="451"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$2,000.00</w:t>
            </w:r>
          </w:p>
        </w:tc>
      </w:tr>
      <w:tr w:rsidR="004073C0" w:rsidRPr="00C25AFF" w:rsidTr="00AE6F20">
        <w:trPr>
          <w:trHeight w:val="255"/>
        </w:trPr>
        <w:tc>
          <w:tcPr>
            <w:tcW w:w="3032"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Investigación del cambio climático y su incidencia en el ciclo hidrológico</w:t>
            </w:r>
          </w:p>
        </w:tc>
        <w:tc>
          <w:tcPr>
            <w:tcW w:w="50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$2,450.00</w:t>
            </w:r>
          </w:p>
        </w:tc>
        <w:tc>
          <w:tcPr>
            <w:tcW w:w="506"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w:t>
            </w:r>
          </w:p>
        </w:tc>
        <w:tc>
          <w:tcPr>
            <w:tcW w:w="506"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$1,050.00</w:t>
            </w:r>
          </w:p>
        </w:tc>
        <w:tc>
          <w:tcPr>
            <w:tcW w:w="451"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$3,600.00</w:t>
            </w:r>
          </w:p>
        </w:tc>
      </w:tr>
      <w:tr w:rsidR="004073C0" w:rsidRPr="00C25AFF" w:rsidTr="00AE6F20">
        <w:trPr>
          <w:trHeight w:val="255"/>
        </w:trPr>
        <w:tc>
          <w:tcPr>
            <w:tcW w:w="3032"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Investigación del cambio climático y su incidencia en el ciclo hidrológico</w:t>
            </w:r>
          </w:p>
        </w:tc>
        <w:tc>
          <w:tcPr>
            <w:tcW w:w="504"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$2,450.00</w:t>
            </w:r>
          </w:p>
        </w:tc>
        <w:tc>
          <w:tcPr>
            <w:tcW w:w="506"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w:t>
            </w:r>
          </w:p>
        </w:tc>
        <w:tc>
          <w:tcPr>
            <w:tcW w:w="506"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$1,050.00</w:t>
            </w:r>
          </w:p>
        </w:tc>
        <w:tc>
          <w:tcPr>
            <w:tcW w:w="451"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$3,600.00</w:t>
            </w:r>
          </w:p>
        </w:tc>
      </w:tr>
      <w:tr w:rsidR="004073C0" w:rsidRPr="00C25AFF" w:rsidTr="00AE6F20">
        <w:trPr>
          <w:trHeight w:val="255"/>
        </w:trPr>
        <w:tc>
          <w:tcPr>
            <w:tcW w:w="3032"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Total General</w:t>
            </w:r>
          </w:p>
        </w:tc>
        <w:tc>
          <w:tcPr>
            <w:tcW w:w="504"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$4,450.00</w:t>
            </w:r>
          </w:p>
        </w:tc>
        <w:tc>
          <w:tcPr>
            <w:tcW w:w="506"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w:t>
            </w:r>
          </w:p>
        </w:tc>
        <w:tc>
          <w:tcPr>
            <w:tcW w:w="506"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$1,050.00</w:t>
            </w:r>
          </w:p>
        </w:tc>
        <w:tc>
          <w:tcPr>
            <w:tcW w:w="451"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$5,600.00</w:t>
            </w:r>
          </w:p>
        </w:tc>
      </w:tr>
    </w:tbl>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Default="004073C0" w:rsidP="004073C0">
      <w:pPr>
        <w:ind w:firstLine="0"/>
      </w:pPr>
    </w:p>
    <w:p w:rsidR="004073C0" w:rsidRPr="001A7174" w:rsidRDefault="004073C0" w:rsidP="004073C0">
      <w:pPr>
        <w:pStyle w:val="Tabla1cap12"/>
        <w:ind w:left="56" w:firstLine="10"/>
        <w:rPr>
          <w:lang w:val="es-MX"/>
        </w:rPr>
      </w:pPr>
      <w:bookmarkStart w:id="233" w:name="_Toc274661367"/>
      <w:r w:rsidRPr="001A7174">
        <w:rPr>
          <w:lang w:val="es-MX"/>
        </w:rPr>
        <w:t>Inversión total estimada para el Objetivo 8, por acuífero (miles de $).</w:t>
      </w:r>
      <w:bookmarkEnd w:id="233"/>
    </w:p>
    <w:tbl>
      <w:tblPr>
        <w:tblW w:w="4971" w:type="pct"/>
        <w:tblBorders>
          <w:top w:val="single" w:sz="12" w:space="0" w:color="008000"/>
          <w:bottom w:val="single" w:sz="12" w:space="0" w:color="008000"/>
        </w:tblBorders>
        <w:tblLayout w:type="fixed"/>
        <w:tblLook w:val="04A0"/>
      </w:tblPr>
      <w:tblGrid>
        <w:gridCol w:w="10040"/>
        <w:gridCol w:w="1268"/>
        <w:gridCol w:w="1273"/>
      </w:tblGrid>
      <w:tr w:rsidR="004073C0" w:rsidRPr="00C25AFF" w:rsidTr="00AE6F20">
        <w:trPr>
          <w:trHeight w:val="255"/>
        </w:trPr>
        <w:tc>
          <w:tcPr>
            <w:tcW w:w="3989"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0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HLOP</w:t>
            </w:r>
          </w:p>
        </w:tc>
        <w:tc>
          <w:tcPr>
            <w:tcW w:w="506"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Actualizar periódicamente los padrones de usuarios y contribuyentes de las aguas nacionales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$650.00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$650.00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Actualización del padrón de usuarios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$650.00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$650.00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Establecer los mecanismos para llevar a cabo la medición de las aguas nacionales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$11,700.00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$11,700.00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Colocación de medidores volumétricos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$11,700.00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$11,700.00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Establecer mecanismos y herramientas de orientación y asistencia al contribuyente de aguas nacionales y sus bienes públicos inherentes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Asistencia fiscal a los contribuyentes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Fortalecer la aplicación de los mecanismos de control previstos en la Ley y vigilar la adecuada utilización de las asignaciones y concesiones de aguas nacionales y permisos de descargas de aguas residuales para propiciar un adecuado manejo y preservación del agua</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$2,040.00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$2,040.00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Inspección de usuarios de aguas nacionales y de cauces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$2,040.00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$2,040.00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Incrementar la presencia fiscal y administrativa entre contribuyentes de aguas nacionales y sus bienes públicos inherentes, mediante la práctica de visitas domiciliarias, además de las revisiones fiscales de gabinete que se practican</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Aplicación efectiva de la normatividad</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c>
          <w:tcPr>
            <w:tcW w:w="506"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r>
      <w:tr w:rsidR="004073C0" w:rsidRPr="00C25AFF" w:rsidTr="00AE6F20">
        <w:trPr>
          <w:trHeight w:val="255"/>
        </w:trPr>
        <w:tc>
          <w:tcPr>
            <w:tcW w:w="3989"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Revisar los esquemas recaudatorios en materia de aguas nacionales y particularmente de descargas de aguas residuales, para contribuir al saneamiento de las cuencas y acuíferos</w:t>
            </w:r>
          </w:p>
        </w:tc>
        <w:tc>
          <w:tcPr>
            <w:tcW w:w="50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$1,500.00</w:t>
            </w:r>
          </w:p>
        </w:tc>
        <w:tc>
          <w:tcPr>
            <w:tcW w:w="506"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$1,500.00</w:t>
            </w:r>
          </w:p>
        </w:tc>
      </w:tr>
      <w:tr w:rsidR="004073C0" w:rsidRPr="00C25AFF" w:rsidTr="00AE6F20">
        <w:trPr>
          <w:trHeight w:val="255"/>
        </w:trPr>
        <w:tc>
          <w:tcPr>
            <w:tcW w:w="3989" w:type="pct"/>
            <w:tcBorders>
              <w:bottom w:val="nil"/>
            </w:tcBorders>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Incentivar programas recaudatorios que estimulan la inversión federal dentro del acuífero</w:t>
            </w:r>
          </w:p>
        </w:tc>
        <w:tc>
          <w:tcPr>
            <w:tcW w:w="504"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w:t>
            </w:r>
          </w:p>
        </w:tc>
        <w:tc>
          <w:tcPr>
            <w:tcW w:w="506"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w:t>
            </w:r>
          </w:p>
        </w:tc>
      </w:tr>
      <w:tr w:rsidR="004073C0" w:rsidRPr="00C25AFF" w:rsidTr="00AE6F20">
        <w:trPr>
          <w:trHeight w:val="255"/>
        </w:trPr>
        <w:tc>
          <w:tcPr>
            <w:tcW w:w="3989"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 General</w:t>
            </w:r>
          </w:p>
        </w:tc>
        <w:tc>
          <w:tcPr>
            <w:tcW w:w="504"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$17,890.00</w:t>
            </w:r>
          </w:p>
        </w:tc>
        <w:tc>
          <w:tcPr>
            <w:tcW w:w="506"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$17,890.00</w:t>
            </w:r>
          </w:p>
        </w:tc>
      </w:tr>
    </w:tbl>
    <w:p w:rsidR="004073C0" w:rsidRDefault="004073C0" w:rsidP="004073C0">
      <w:pPr>
        <w:ind w:firstLine="0"/>
      </w:pPr>
    </w:p>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Default="004073C0" w:rsidP="004073C0"/>
    <w:p w:rsidR="004073C0" w:rsidRPr="001A7174" w:rsidRDefault="004073C0" w:rsidP="004073C0">
      <w:pPr>
        <w:pStyle w:val="Tabla1cap12"/>
        <w:ind w:left="56" w:firstLine="10"/>
        <w:rPr>
          <w:lang w:val="es-MX"/>
        </w:rPr>
      </w:pPr>
      <w:bookmarkStart w:id="234" w:name="_Toc274661368"/>
      <w:r w:rsidRPr="001A7174">
        <w:rPr>
          <w:lang w:val="es-MX"/>
        </w:rPr>
        <w:t>Inversión total estimada para el Objetivo 8, por periodo (miles de $).</w:t>
      </w:r>
      <w:bookmarkEnd w:id="234"/>
    </w:p>
    <w:tbl>
      <w:tblPr>
        <w:tblW w:w="4970" w:type="pct"/>
        <w:tblBorders>
          <w:top w:val="single" w:sz="12" w:space="0" w:color="008000"/>
          <w:bottom w:val="single" w:sz="12" w:space="0" w:color="008000"/>
        </w:tblBorders>
        <w:tblLayout w:type="fixed"/>
        <w:tblLook w:val="04A0"/>
      </w:tblPr>
      <w:tblGrid>
        <w:gridCol w:w="7490"/>
        <w:gridCol w:w="1268"/>
        <w:gridCol w:w="1275"/>
        <w:gridCol w:w="1275"/>
        <w:gridCol w:w="1270"/>
      </w:tblGrid>
      <w:tr w:rsidR="004073C0" w:rsidRPr="00C25AFF" w:rsidTr="00AE6F20">
        <w:trPr>
          <w:trHeight w:val="255"/>
        </w:trPr>
        <w:tc>
          <w:tcPr>
            <w:tcW w:w="297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Descripción</w:t>
            </w:r>
          </w:p>
        </w:tc>
        <w:tc>
          <w:tcPr>
            <w:tcW w:w="504"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2011-2012</w:t>
            </w:r>
          </w:p>
        </w:tc>
        <w:tc>
          <w:tcPr>
            <w:tcW w:w="50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2013-2018</w:t>
            </w:r>
          </w:p>
        </w:tc>
        <w:tc>
          <w:tcPr>
            <w:tcW w:w="507"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2019-2040</w:t>
            </w:r>
          </w:p>
        </w:tc>
        <w:tc>
          <w:tcPr>
            <w:tcW w:w="505" w:type="pct"/>
            <w:tcBorders>
              <w:bottom w:val="single" w:sz="6" w:space="0" w:color="008000"/>
            </w:tcBorders>
            <w:shd w:val="clear" w:color="auto" w:fill="auto"/>
            <w:noWrap/>
            <w:hideMark/>
          </w:tcPr>
          <w:p w:rsidR="004073C0" w:rsidRPr="00C25AFF" w:rsidRDefault="004073C0" w:rsidP="00AE6F20">
            <w:pPr>
              <w:spacing w:before="20" w:after="20" w:line="240" w:lineRule="auto"/>
              <w:ind w:firstLine="0"/>
              <w:jc w:val="center"/>
              <w:rPr>
                <w:rFonts w:eastAsia="Times New Roman" w:cs="Arial"/>
                <w:b/>
                <w:bCs/>
                <w:sz w:val="20"/>
                <w:lang w:eastAsia="es-MX"/>
              </w:rPr>
            </w:pPr>
            <w:r w:rsidRPr="00C25AFF">
              <w:rPr>
                <w:rFonts w:eastAsia="Times New Roman" w:cs="Arial"/>
                <w:b/>
                <w:bCs/>
                <w:sz w:val="20"/>
                <w:lang w:eastAsia="es-MX"/>
              </w:rPr>
              <w:t>Total</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Actualizar periódicamente los padrones de usuarios y contribuyentes de las aguas nacionales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$130.00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$130.00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$390.00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$650.00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Actualización del padrón de usuarios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$130.00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$390.00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$650.00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Establecer los mecanismos para llevar a cabo la medición de las aguas nacionales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$2,340.00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$2,340.00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$7,020.00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$11,700.00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Colocación de medidores volumétricos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$2,340.00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$2,340.00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$7,020.00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$11,700.00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Establecer mecanismos y herramientas de orientación y asistencia al contribuyente de aguas nacionales y sus bienes públicos inherentes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$600.00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Asistencia fiscal a los contribuyentes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Fortalecer la aplicación de los mecanismos de control previstos en la Ley y vigilar la adecuada utilización de las asignaciones y concesiones de aguas nacionales y permisos de descargas de aguas residuales para propiciar un adecuado manejo y preservación del agua</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$408.00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$408.00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$1,224.00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$2,040.00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Inspección de usuarios de aguas nacionales y de cauces</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$408.00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$408.00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$1,224.00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$2,040.00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Incrementar la presencia fiscal y administrativa entre contribuyentes de aguas nacionales y sus bienes públicos inherentes, mediante la práctica de visitas domiciliarias, además de las revisiones fiscales de gabinete que se practican</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$600.00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Aplicación efectiva de la normatividad</w:t>
            </w:r>
          </w:p>
        </w:tc>
        <w:tc>
          <w:tcPr>
            <w:tcW w:w="504"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$200.00</w:t>
            </w:r>
          </w:p>
        </w:tc>
        <w:tc>
          <w:tcPr>
            <w:tcW w:w="507"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$600.00</w:t>
            </w:r>
          </w:p>
        </w:tc>
        <w:tc>
          <w:tcPr>
            <w:tcW w:w="505" w:type="pct"/>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$1,000.00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b/>
                <w:bCs/>
                <w:sz w:val="20"/>
                <w:lang w:eastAsia="es-MX"/>
              </w:rPr>
            </w:pPr>
            <w:r w:rsidRPr="00C25AFF">
              <w:rPr>
                <w:rFonts w:eastAsia="Times New Roman" w:cs="Arial"/>
                <w:b/>
                <w:bCs/>
                <w:sz w:val="20"/>
                <w:lang w:eastAsia="es-MX"/>
              </w:rPr>
              <w:t>Revisar los esquemas recaudatorios en materia de aguas nacionales y particularmente de descargas de aguas residuales, para contribuir al saneamiento de las cuencas y acuíferos</w:t>
            </w:r>
          </w:p>
        </w:tc>
        <w:tc>
          <w:tcPr>
            <w:tcW w:w="504"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$300.00</w:t>
            </w:r>
          </w:p>
        </w:tc>
        <w:tc>
          <w:tcPr>
            <w:tcW w:w="50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$300.00</w:t>
            </w:r>
          </w:p>
        </w:tc>
        <w:tc>
          <w:tcPr>
            <w:tcW w:w="507"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$900.00</w:t>
            </w:r>
          </w:p>
        </w:tc>
        <w:tc>
          <w:tcPr>
            <w:tcW w:w="505" w:type="pct"/>
            <w:tcBorders>
              <w:bottom w:val="nil"/>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$1,500.00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left"/>
              <w:rPr>
                <w:rFonts w:eastAsia="Times New Roman" w:cs="Arial"/>
                <w:sz w:val="20"/>
                <w:lang w:eastAsia="es-MX"/>
              </w:rPr>
            </w:pPr>
            <w:r w:rsidRPr="00C25AFF">
              <w:rPr>
                <w:rFonts w:eastAsia="Times New Roman" w:cs="Arial"/>
                <w:sz w:val="20"/>
                <w:lang w:eastAsia="es-MX"/>
              </w:rPr>
              <w:t>Incentivar programas recaudatorios que estimulan la inversión federal dentro del acuífero</w:t>
            </w:r>
          </w:p>
        </w:tc>
        <w:tc>
          <w:tcPr>
            <w:tcW w:w="504"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$300.00</w:t>
            </w:r>
          </w:p>
        </w:tc>
        <w:tc>
          <w:tcPr>
            <w:tcW w:w="507"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$300.00</w:t>
            </w:r>
          </w:p>
        </w:tc>
        <w:tc>
          <w:tcPr>
            <w:tcW w:w="507"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$900.00</w:t>
            </w:r>
          </w:p>
        </w:tc>
        <w:tc>
          <w:tcPr>
            <w:tcW w:w="505" w:type="pct"/>
            <w:tcBorders>
              <w:top w:val="nil"/>
              <w:bottom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sz w:val="20"/>
                <w:lang w:eastAsia="es-MX"/>
              </w:rPr>
            </w:pPr>
            <w:r w:rsidRPr="00C25AFF">
              <w:rPr>
                <w:rFonts w:eastAsia="Times New Roman" w:cs="Arial"/>
                <w:sz w:val="20"/>
                <w:lang w:eastAsia="es-MX"/>
              </w:rPr>
              <w:t>$1,500.00</w:t>
            </w:r>
          </w:p>
        </w:tc>
      </w:tr>
      <w:tr w:rsidR="004073C0" w:rsidRPr="00C25AFF" w:rsidTr="00AE6F20">
        <w:trPr>
          <w:trHeight w:val="255"/>
        </w:trPr>
        <w:tc>
          <w:tcPr>
            <w:tcW w:w="2977" w:type="pct"/>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Total General</w:t>
            </w:r>
          </w:p>
        </w:tc>
        <w:tc>
          <w:tcPr>
            <w:tcW w:w="504"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$3,578.00</w:t>
            </w:r>
          </w:p>
        </w:tc>
        <w:tc>
          <w:tcPr>
            <w:tcW w:w="507"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$3,578.00</w:t>
            </w:r>
          </w:p>
        </w:tc>
        <w:tc>
          <w:tcPr>
            <w:tcW w:w="507"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$10,734.00</w:t>
            </w:r>
          </w:p>
        </w:tc>
        <w:tc>
          <w:tcPr>
            <w:tcW w:w="505" w:type="pct"/>
            <w:tcBorders>
              <w:top w:val="single" w:sz="4" w:space="0" w:color="auto"/>
            </w:tcBorders>
            <w:shd w:val="clear" w:color="auto" w:fill="auto"/>
            <w:noWrap/>
            <w:hideMark/>
          </w:tcPr>
          <w:p w:rsidR="004073C0" w:rsidRPr="00C25AFF" w:rsidRDefault="004073C0" w:rsidP="00AE6F20">
            <w:pPr>
              <w:spacing w:before="20" w:after="20" w:line="240" w:lineRule="auto"/>
              <w:ind w:firstLine="0"/>
              <w:jc w:val="right"/>
              <w:rPr>
                <w:rFonts w:eastAsia="Times New Roman" w:cs="Arial"/>
                <w:b/>
                <w:bCs/>
                <w:sz w:val="20"/>
                <w:lang w:eastAsia="es-MX"/>
              </w:rPr>
            </w:pPr>
            <w:r w:rsidRPr="00C25AFF">
              <w:rPr>
                <w:rFonts w:eastAsia="Times New Roman" w:cs="Arial"/>
                <w:b/>
                <w:bCs/>
                <w:sz w:val="20"/>
                <w:lang w:eastAsia="es-MX"/>
              </w:rPr>
              <w:t>$17,890.00</w:t>
            </w:r>
          </w:p>
        </w:tc>
      </w:tr>
    </w:tbl>
    <w:p w:rsidR="004073C0" w:rsidRDefault="004073C0" w:rsidP="004073C0"/>
    <w:p w:rsidR="004073C0" w:rsidRDefault="004073C0" w:rsidP="004073C0"/>
    <w:p w:rsidR="004073C0" w:rsidRDefault="004073C0" w:rsidP="004073C0"/>
    <w:bookmarkEnd w:id="215"/>
    <w:bookmarkEnd w:id="216"/>
    <w:p w:rsidR="00673A79" w:rsidRDefault="00673A79" w:rsidP="00673A79">
      <w:pPr>
        <w:ind w:firstLine="0"/>
        <w:sectPr w:rsidR="00673A79" w:rsidSect="000E30F2">
          <w:pgSz w:w="15840" w:h="12240" w:orient="landscape" w:code="1"/>
          <w:pgMar w:top="1134" w:right="1701" w:bottom="1418" w:left="1701" w:header="709" w:footer="567" w:gutter="0"/>
          <w:cols w:space="708"/>
          <w:docGrid w:linePitch="360"/>
        </w:sectPr>
      </w:pPr>
    </w:p>
    <w:p w:rsidR="00673A79" w:rsidRDefault="00673A79" w:rsidP="008011C2">
      <w:pPr>
        <w:pStyle w:val="Ttulo3"/>
        <w:jc w:val="both"/>
      </w:pPr>
      <w:bookmarkStart w:id="235" w:name="_Toc273962339"/>
      <w:bookmarkStart w:id="236" w:name="_Toc283886484"/>
      <w:r>
        <w:lastRenderedPageBreak/>
        <w:t>Financiamiento</w:t>
      </w:r>
      <w:bookmarkEnd w:id="235"/>
      <w:bookmarkEnd w:id="236"/>
    </w:p>
    <w:p w:rsidR="00673A79" w:rsidRDefault="00673A79" w:rsidP="00673A79">
      <w:r>
        <w:t>Un requisito para que cada uno de los proyectos sea objeto de financiamiento, es que cuente con una solidez técnica fundamentada en estudios y diseños precisos que permitan comprobar la conveniencia de cada caso, por medio de una evaluación técnica, social y económica, como se ha hecho en el presente plan.</w:t>
      </w:r>
    </w:p>
    <w:p w:rsidR="00673A79" w:rsidRDefault="00673A79" w:rsidP="00673A79">
      <w:r>
        <w:t>En segundo término, una tarifa o cuota, por concepto de uso del agua representando una alternativa benéfica para los usuarios y para el acuífero, con ésta se integraría un fondo de inversión para apoyar las estrategias del plan de manejo, que retribuirán con creces las aportaciones a los contribuyentes.</w:t>
      </w:r>
    </w:p>
    <w:p w:rsidR="00673A79" w:rsidRDefault="00673A79" w:rsidP="00673A79">
      <w:r>
        <w:t>El pago de las acciones integradas en la cartera de proyectos, resulta de tres principales mecanismos: los subsidios o apoyos del gobierno, el pago de derechos por parte de los usuarios y las propiedades del financiamiento.</w:t>
      </w:r>
      <w:r w:rsidR="004073C0">
        <w:t xml:space="preserve"> </w:t>
      </w:r>
    </w:p>
    <w:p w:rsidR="00673A79" w:rsidRDefault="00673A79" w:rsidP="00673A79">
      <w:r>
        <w:t xml:space="preserve">El consenso de una tarifa como garantía para optimizar el uso del agua, es un elemento indispensable para el Plan de Manejo del Acuífero.  </w:t>
      </w:r>
    </w:p>
    <w:p w:rsidR="00673A79" w:rsidRPr="009270A8" w:rsidRDefault="00673A79" w:rsidP="008011C2">
      <w:pPr>
        <w:pStyle w:val="Tabla1cap12"/>
        <w:ind w:left="56" w:firstLine="10"/>
        <w:outlineLvl w:val="0"/>
        <w:rPr>
          <w:lang w:val="es-MX"/>
        </w:rPr>
      </w:pPr>
      <w:bookmarkStart w:id="237" w:name="_Ref270345422"/>
      <w:bookmarkStart w:id="238" w:name="_Toc273962926"/>
      <w:r w:rsidRPr="009270A8">
        <w:rPr>
          <w:lang w:val="es-MX"/>
        </w:rPr>
        <w:t>Participación en las inversiones</w:t>
      </w:r>
      <w:bookmarkEnd w:id="237"/>
      <w:bookmarkEnd w:id="238"/>
    </w:p>
    <w:tbl>
      <w:tblPr>
        <w:tblW w:w="4992" w:type="pct"/>
        <w:tblBorders>
          <w:top w:val="single" w:sz="12" w:space="0" w:color="008000"/>
          <w:bottom w:val="single" w:sz="12" w:space="0" w:color="008000"/>
        </w:tblBorders>
        <w:tblLayout w:type="fixed"/>
        <w:tblLook w:val="04A0"/>
      </w:tblPr>
      <w:tblGrid>
        <w:gridCol w:w="4502"/>
        <w:gridCol w:w="1414"/>
        <w:gridCol w:w="1278"/>
        <w:gridCol w:w="1278"/>
        <w:gridCol w:w="1416"/>
      </w:tblGrid>
      <w:tr w:rsidR="004073C0" w:rsidRPr="00F0314E" w:rsidTr="00AE6F20">
        <w:trPr>
          <w:trHeight w:val="255"/>
        </w:trPr>
        <w:tc>
          <w:tcPr>
            <w:tcW w:w="2277" w:type="pct"/>
            <w:tcBorders>
              <w:bottom w:val="single" w:sz="6" w:space="0" w:color="008000"/>
            </w:tcBorders>
            <w:shd w:val="clear" w:color="auto" w:fill="auto"/>
            <w:noWrap/>
            <w:hideMark/>
          </w:tcPr>
          <w:p w:rsidR="004073C0" w:rsidRPr="00F0314E" w:rsidRDefault="004073C0" w:rsidP="00AE6F20">
            <w:pPr>
              <w:spacing w:before="20" w:after="20" w:line="240" w:lineRule="auto"/>
              <w:ind w:firstLine="0"/>
              <w:jc w:val="center"/>
              <w:rPr>
                <w:rFonts w:eastAsia="Times New Roman" w:cs="Arial"/>
                <w:b/>
                <w:bCs/>
                <w:sz w:val="18"/>
                <w:szCs w:val="18"/>
                <w:lang w:eastAsia="es-MX"/>
              </w:rPr>
            </w:pPr>
            <w:r w:rsidRPr="00F0314E">
              <w:rPr>
                <w:rFonts w:eastAsia="Times New Roman" w:cs="Arial"/>
                <w:b/>
                <w:bCs/>
                <w:sz w:val="18"/>
                <w:szCs w:val="18"/>
                <w:lang w:eastAsia="es-MX"/>
              </w:rPr>
              <w:t>Objetivos</w:t>
            </w:r>
          </w:p>
        </w:tc>
        <w:tc>
          <w:tcPr>
            <w:tcW w:w="715" w:type="pct"/>
            <w:tcBorders>
              <w:bottom w:val="single" w:sz="6" w:space="0" w:color="008000"/>
            </w:tcBorders>
            <w:shd w:val="clear" w:color="auto" w:fill="auto"/>
            <w:noWrap/>
            <w:hideMark/>
          </w:tcPr>
          <w:p w:rsidR="004073C0" w:rsidRPr="00F0314E" w:rsidRDefault="004073C0" w:rsidP="00AE6F20">
            <w:pPr>
              <w:spacing w:before="20" w:after="20" w:line="240" w:lineRule="auto"/>
              <w:ind w:firstLine="0"/>
              <w:jc w:val="center"/>
              <w:rPr>
                <w:rFonts w:eastAsia="Times New Roman" w:cs="Arial"/>
                <w:b/>
                <w:bCs/>
                <w:sz w:val="18"/>
                <w:szCs w:val="18"/>
                <w:lang w:eastAsia="es-MX"/>
              </w:rPr>
            </w:pPr>
            <w:r w:rsidRPr="00F0314E">
              <w:rPr>
                <w:rFonts w:eastAsia="Times New Roman" w:cs="Arial"/>
                <w:b/>
                <w:bCs/>
                <w:sz w:val="18"/>
                <w:szCs w:val="18"/>
                <w:lang w:eastAsia="es-MX"/>
              </w:rPr>
              <w:t>FEDERAL</w:t>
            </w:r>
          </w:p>
        </w:tc>
        <w:tc>
          <w:tcPr>
            <w:tcW w:w="646" w:type="pct"/>
            <w:tcBorders>
              <w:bottom w:val="single" w:sz="6" w:space="0" w:color="008000"/>
            </w:tcBorders>
            <w:shd w:val="clear" w:color="auto" w:fill="auto"/>
            <w:noWrap/>
            <w:hideMark/>
          </w:tcPr>
          <w:p w:rsidR="004073C0" w:rsidRPr="00F0314E" w:rsidRDefault="004073C0" w:rsidP="00AE6F20">
            <w:pPr>
              <w:spacing w:before="20" w:after="20" w:line="240" w:lineRule="auto"/>
              <w:ind w:firstLine="0"/>
              <w:jc w:val="center"/>
              <w:rPr>
                <w:rFonts w:eastAsia="Times New Roman" w:cs="Arial"/>
                <w:b/>
                <w:bCs/>
                <w:sz w:val="18"/>
                <w:szCs w:val="18"/>
                <w:lang w:eastAsia="es-MX"/>
              </w:rPr>
            </w:pPr>
            <w:r w:rsidRPr="00F0314E">
              <w:rPr>
                <w:rFonts w:eastAsia="Times New Roman" w:cs="Arial"/>
                <w:b/>
                <w:bCs/>
                <w:sz w:val="18"/>
                <w:szCs w:val="18"/>
                <w:lang w:eastAsia="es-MX"/>
              </w:rPr>
              <w:t>ESTATAL</w:t>
            </w:r>
          </w:p>
        </w:tc>
        <w:tc>
          <w:tcPr>
            <w:tcW w:w="646" w:type="pct"/>
            <w:tcBorders>
              <w:bottom w:val="single" w:sz="6" w:space="0" w:color="008000"/>
            </w:tcBorders>
            <w:shd w:val="clear" w:color="auto" w:fill="auto"/>
            <w:noWrap/>
            <w:hideMark/>
          </w:tcPr>
          <w:p w:rsidR="004073C0" w:rsidRPr="00F0314E" w:rsidRDefault="004073C0" w:rsidP="00AE6F20">
            <w:pPr>
              <w:spacing w:before="20" w:after="20" w:line="240" w:lineRule="auto"/>
              <w:ind w:firstLine="0"/>
              <w:jc w:val="center"/>
              <w:rPr>
                <w:rFonts w:eastAsia="Times New Roman" w:cs="Arial"/>
                <w:b/>
                <w:bCs/>
                <w:sz w:val="18"/>
                <w:szCs w:val="18"/>
                <w:lang w:eastAsia="es-MX"/>
              </w:rPr>
            </w:pPr>
            <w:r w:rsidRPr="00F0314E">
              <w:rPr>
                <w:rFonts w:eastAsia="Times New Roman" w:cs="Arial"/>
                <w:b/>
                <w:bCs/>
                <w:sz w:val="18"/>
                <w:szCs w:val="18"/>
                <w:lang w:eastAsia="es-MX"/>
              </w:rPr>
              <w:t>MUNICIPAL</w:t>
            </w:r>
          </w:p>
        </w:tc>
        <w:tc>
          <w:tcPr>
            <w:tcW w:w="717" w:type="pct"/>
            <w:tcBorders>
              <w:bottom w:val="single" w:sz="6" w:space="0" w:color="008000"/>
            </w:tcBorders>
            <w:shd w:val="clear" w:color="auto" w:fill="auto"/>
            <w:noWrap/>
            <w:hideMark/>
          </w:tcPr>
          <w:p w:rsidR="004073C0" w:rsidRPr="00F0314E" w:rsidRDefault="004073C0" w:rsidP="00AE6F20">
            <w:pPr>
              <w:spacing w:before="20" w:after="20" w:line="240" w:lineRule="auto"/>
              <w:ind w:firstLine="0"/>
              <w:jc w:val="center"/>
              <w:rPr>
                <w:rFonts w:eastAsia="Times New Roman" w:cs="Arial"/>
                <w:b/>
                <w:bCs/>
                <w:sz w:val="18"/>
                <w:szCs w:val="18"/>
                <w:lang w:eastAsia="es-MX"/>
              </w:rPr>
            </w:pPr>
            <w:r w:rsidRPr="00F0314E">
              <w:rPr>
                <w:rFonts w:eastAsia="Times New Roman" w:cs="Arial"/>
                <w:b/>
                <w:bCs/>
                <w:sz w:val="18"/>
                <w:szCs w:val="18"/>
                <w:lang w:eastAsia="es-MX"/>
              </w:rPr>
              <w:t>Total</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Consolidar la participación de los usuarios y la sociedad organizada en el manejo del agua y promover la cultura del buen uso</w:t>
            </w:r>
          </w:p>
        </w:tc>
        <w:tc>
          <w:tcPr>
            <w:tcW w:w="715"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$166,185.82</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$76,185.82</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$78,494.48</w:t>
            </w:r>
          </w:p>
        </w:tc>
        <w:tc>
          <w:tcPr>
            <w:tcW w:w="717"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$320,866.11</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Crear una cultura contributiva y de cumplimiento a la LAN en materia administrativa</w:t>
            </w:r>
          </w:p>
        </w:tc>
        <w:tc>
          <w:tcPr>
            <w:tcW w:w="715"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$5,903.70</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$5,903.70</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$6,082.60</w:t>
            </w:r>
          </w:p>
        </w:tc>
        <w:tc>
          <w:tcPr>
            <w:tcW w:w="717"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$17,890.00</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Incrementar el acceso y la calidad de los servicios de agua potable, alcantarillado y saneamiento</w:t>
            </w:r>
          </w:p>
        </w:tc>
        <w:tc>
          <w:tcPr>
            <w:tcW w:w="715"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$392,900.11</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$325,256.22</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$196,182.52</w:t>
            </w:r>
          </w:p>
        </w:tc>
        <w:tc>
          <w:tcPr>
            <w:tcW w:w="717"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$914,338.85</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Mejorar el desarrollo técnico, administrativo y financiero del sector hidráulico</w:t>
            </w:r>
          </w:p>
        </w:tc>
        <w:tc>
          <w:tcPr>
            <w:tcW w:w="715"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$92,235.00</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$92,235.00</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$95,030.00</w:t>
            </w:r>
          </w:p>
        </w:tc>
        <w:tc>
          <w:tcPr>
            <w:tcW w:w="717"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$279,500.00</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Mejorar la productividad del agua en el sector agrícola*</w:t>
            </w:r>
          </w:p>
        </w:tc>
        <w:tc>
          <w:tcPr>
            <w:tcW w:w="715"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$577,468.13</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$173,366.85</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$148,334.98</w:t>
            </w:r>
          </w:p>
        </w:tc>
        <w:tc>
          <w:tcPr>
            <w:tcW w:w="717"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$1,260,164.38</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Prevenir los riesgos derivados de los fenómenos meteorológicos e hidrometeorológicos y atender sus efectos</w:t>
            </w:r>
          </w:p>
        </w:tc>
        <w:tc>
          <w:tcPr>
            <w:tcW w:w="715"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$7,260.00</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$7,260.00</w:t>
            </w:r>
          </w:p>
        </w:tc>
        <w:tc>
          <w:tcPr>
            <w:tcW w:w="646"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$7,480.00</w:t>
            </w:r>
          </w:p>
        </w:tc>
        <w:tc>
          <w:tcPr>
            <w:tcW w:w="717" w:type="pct"/>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$22,000.00</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Promover el manejo integrado del agua en cuencas y acuíferos</w:t>
            </w:r>
          </w:p>
        </w:tc>
        <w:tc>
          <w:tcPr>
            <w:tcW w:w="715" w:type="pct"/>
            <w:tcBorders>
              <w:bottom w:val="nil"/>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$156,520.00</w:t>
            </w:r>
          </w:p>
        </w:tc>
        <w:tc>
          <w:tcPr>
            <w:tcW w:w="646" w:type="pct"/>
            <w:tcBorders>
              <w:bottom w:val="nil"/>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$139,645.00</w:t>
            </w:r>
          </w:p>
        </w:tc>
        <w:tc>
          <w:tcPr>
            <w:tcW w:w="646" w:type="pct"/>
            <w:tcBorders>
              <w:bottom w:val="nil"/>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$79,835.00</w:t>
            </w:r>
          </w:p>
        </w:tc>
        <w:tc>
          <w:tcPr>
            <w:tcW w:w="717" w:type="pct"/>
            <w:tcBorders>
              <w:bottom w:val="nil"/>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$376,000.00</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left"/>
              <w:rPr>
                <w:rFonts w:eastAsia="Times New Roman" w:cs="Arial"/>
                <w:sz w:val="18"/>
                <w:szCs w:val="18"/>
                <w:lang w:eastAsia="es-MX"/>
              </w:rPr>
            </w:pPr>
            <w:r w:rsidRPr="00F0314E">
              <w:rPr>
                <w:rFonts w:eastAsia="Times New Roman" w:cs="Arial"/>
                <w:sz w:val="18"/>
                <w:szCs w:val="18"/>
                <w:lang w:eastAsia="es-MX"/>
              </w:rPr>
              <w:t>Evaluar los efectos del cambio climático e hidrológico global y local</w:t>
            </w:r>
          </w:p>
        </w:tc>
        <w:tc>
          <w:tcPr>
            <w:tcW w:w="715" w:type="pct"/>
            <w:tcBorders>
              <w:top w:val="nil"/>
              <w:bottom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$5,600.00</w:t>
            </w:r>
          </w:p>
        </w:tc>
        <w:tc>
          <w:tcPr>
            <w:tcW w:w="646" w:type="pct"/>
            <w:tcBorders>
              <w:top w:val="nil"/>
              <w:bottom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$0.00</w:t>
            </w:r>
          </w:p>
        </w:tc>
        <w:tc>
          <w:tcPr>
            <w:tcW w:w="646" w:type="pct"/>
            <w:tcBorders>
              <w:top w:val="nil"/>
              <w:bottom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$0.00</w:t>
            </w:r>
          </w:p>
        </w:tc>
        <w:tc>
          <w:tcPr>
            <w:tcW w:w="717" w:type="pct"/>
            <w:tcBorders>
              <w:top w:val="nil"/>
              <w:bottom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sz w:val="18"/>
                <w:szCs w:val="18"/>
                <w:lang w:eastAsia="es-MX"/>
              </w:rPr>
            </w:pPr>
            <w:r w:rsidRPr="00F0314E">
              <w:rPr>
                <w:rFonts w:eastAsia="Times New Roman" w:cs="Arial"/>
                <w:sz w:val="18"/>
                <w:szCs w:val="18"/>
                <w:lang w:eastAsia="es-MX"/>
              </w:rPr>
              <w:t>$5,600.00</w:t>
            </w:r>
          </w:p>
        </w:tc>
      </w:tr>
      <w:tr w:rsidR="004073C0" w:rsidRPr="00F0314E" w:rsidTr="00AE6F20">
        <w:trPr>
          <w:trHeight w:val="255"/>
        </w:trPr>
        <w:tc>
          <w:tcPr>
            <w:tcW w:w="2277" w:type="pct"/>
            <w:shd w:val="clear" w:color="auto" w:fill="auto"/>
            <w:noWrap/>
            <w:hideMark/>
          </w:tcPr>
          <w:p w:rsidR="004073C0" w:rsidRPr="00F0314E" w:rsidRDefault="004073C0" w:rsidP="00AE6F20">
            <w:pPr>
              <w:spacing w:before="20" w:after="20" w:line="240" w:lineRule="auto"/>
              <w:ind w:firstLine="0"/>
              <w:jc w:val="center"/>
              <w:rPr>
                <w:rFonts w:eastAsia="Times New Roman" w:cs="Arial"/>
                <w:b/>
                <w:bCs/>
                <w:sz w:val="18"/>
                <w:szCs w:val="18"/>
                <w:lang w:eastAsia="es-MX"/>
              </w:rPr>
            </w:pPr>
            <w:r w:rsidRPr="00F0314E">
              <w:rPr>
                <w:rFonts w:eastAsia="Times New Roman" w:cs="Arial"/>
                <w:b/>
                <w:bCs/>
                <w:sz w:val="18"/>
                <w:szCs w:val="18"/>
                <w:lang w:eastAsia="es-MX"/>
              </w:rPr>
              <w:t>Total General</w:t>
            </w:r>
          </w:p>
        </w:tc>
        <w:tc>
          <w:tcPr>
            <w:tcW w:w="715" w:type="pct"/>
            <w:tcBorders>
              <w:top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b/>
                <w:bCs/>
                <w:sz w:val="18"/>
                <w:szCs w:val="18"/>
                <w:lang w:eastAsia="es-MX"/>
              </w:rPr>
            </w:pPr>
            <w:r w:rsidRPr="00F0314E">
              <w:rPr>
                <w:rFonts w:eastAsia="Times New Roman" w:cs="Arial"/>
                <w:b/>
                <w:bCs/>
                <w:sz w:val="18"/>
                <w:szCs w:val="18"/>
                <w:lang w:eastAsia="es-MX"/>
              </w:rPr>
              <w:t>$1,404,072.76</w:t>
            </w:r>
          </w:p>
        </w:tc>
        <w:tc>
          <w:tcPr>
            <w:tcW w:w="646" w:type="pct"/>
            <w:tcBorders>
              <w:top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b/>
                <w:bCs/>
                <w:sz w:val="18"/>
                <w:szCs w:val="18"/>
                <w:lang w:eastAsia="es-MX"/>
              </w:rPr>
            </w:pPr>
            <w:r w:rsidRPr="00F0314E">
              <w:rPr>
                <w:rFonts w:eastAsia="Times New Roman" w:cs="Arial"/>
                <w:b/>
                <w:bCs/>
                <w:sz w:val="18"/>
                <w:szCs w:val="18"/>
                <w:lang w:eastAsia="es-MX"/>
              </w:rPr>
              <w:t>$819,852.60</w:t>
            </w:r>
          </w:p>
        </w:tc>
        <w:tc>
          <w:tcPr>
            <w:tcW w:w="646" w:type="pct"/>
            <w:tcBorders>
              <w:top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b/>
                <w:bCs/>
                <w:sz w:val="18"/>
                <w:szCs w:val="18"/>
                <w:lang w:eastAsia="es-MX"/>
              </w:rPr>
            </w:pPr>
            <w:r w:rsidRPr="00F0314E">
              <w:rPr>
                <w:rFonts w:eastAsia="Times New Roman" w:cs="Arial"/>
                <w:b/>
                <w:bCs/>
                <w:sz w:val="18"/>
                <w:szCs w:val="18"/>
                <w:lang w:eastAsia="es-MX"/>
              </w:rPr>
              <w:t>$611,439.58</w:t>
            </w:r>
          </w:p>
        </w:tc>
        <w:tc>
          <w:tcPr>
            <w:tcW w:w="717" w:type="pct"/>
            <w:tcBorders>
              <w:top w:val="single" w:sz="4" w:space="0" w:color="auto"/>
            </w:tcBorders>
            <w:shd w:val="clear" w:color="auto" w:fill="auto"/>
            <w:noWrap/>
            <w:hideMark/>
          </w:tcPr>
          <w:p w:rsidR="004073C0" w:rsidRPr="00F0314E" w:rsidRDefault="004073C0" w:rsidP="00AE6F20">
            <w:pPr>
              <w:spacing w:before="20" w:after="20" w:line="240" w:lineRule="auto"/>
              <w:ind w:firstLine="0"/>
              <w:jc w:val="right"/>
              <w:rPr>
                <w:rFonts w:eastAsia="Times New Roman" w:cs="Arial"/>
                <w:b/>
                <w:bCs/>
                <w:sz w:val="18"/>
                <w:szCs w:val="18"/>
                <w:lang w:eastAsia="es-MX"/>
              </w:rPr>
            </w:pPr>
            <w:r w:rsidRPr="00F0314E">
              <w:rPr>
                <w:rFonts w:eastAsia="Times New Roman" w:cs="Arial"/>
                <w:b/>
                <w:bCs/>
                <w:sz w:val="18"/>
                <w:szCs w:val="18"/>
                <w:lang w:eastAsia="es-MX"/>
              </w:rPr>
              <w:t>$3,196,359.34</w:t>
            </w:r>
          </w:p>
        </w:tc>
      </w:tr>
    </w:tbl>
    <w:p w:rsidR="00673A79" w:rsidRDefault="00673A79" w:rsidP="00673A79"/>
    <w:p w:rsidR="00673A79" w:rsidRDefault="00673A79" w:rsidP="00673A79">
      <w:r>
        <w:t>De acuerdo con el fin para el cual se realiza cada alternativa ya sea mejorar la situación específica de un sector usuario o desempeñar funciones técnicas específicas de distintas instancias de gobierno, se llevó a cabo una propuesta de fuentes de financiamiento para las acciones previstas en el Plan (</w:t>
      </w:r>
      <w:r w:rsidR="00BE2961">
        <w:fldChar w:fldCharType="begin"/>
      </w:r>
      <w:r>
        <w:instrText xml:space="preserve"> REF _Ref270345422 \r \h </w:instrText>
      </w:r>
      <w:r w:rsidR="00BE2961">
        <w:fldChar w:fldCharType="separate"/>
      </w:r>
      <w:r w:rsidR="001C36B4">
        <w:t>Tabla 12.30</w:t>
      </w:r>
      <w:r w:rsidR="00BE2961">
        <w:fldChar w:fldCharType="end"/>
      </w:r>
      <w:r>
        <w:t xml:space="preserve">). </w:t>
      </w:r>
    </w:p>
    <w:p w:rsidR="00673A79" w:rsidRDefault="00673A79" w:rsidP="00673A79">
      <w:r>
        <w:t xml:space="preserve">Esta propuesta, presenta órdenes de magnitud de la participación de los involucrados en el financiamiento, pues únicamente a través de la gestión del financiamiento y del consenso de sus </w:t>
      </w:r>
      <w:r>
        <w:lastRenderedPageBreak/>
        <w:t>involucrados, es posible establecer las condiciones específicas de financiamiento para cada acción o grupo de acciones.</w:t>
      </w:r>
    </w:p>
    <w:p w:rsidR="00007268" w:rsidRDefault="00673A79" w:rsidP="00673A79">
      <w:r>
        <w:t>Las condiciones de crédito, como son los plazos para efectuar los pagos y la tasa de interés, determinarán el costo definitivo de las acciones. La definición de las fuentes de financiamiento y la gestión del mismo, es una actividad en cartera, que se encuentra a cargo del COTAS y de los grupos representados en el mismo</w:t>
      </w:r>
    </w:p>
    <w:p w:rsidR="00007268" w:rsidRDefault="00007268" w:rsidP="005573B4">
      <w:pPr>
        <w:pStyle w:val="Ttulo1"/>
      </w:pPr>
      <w:bookmarkStart w:id="239" w:name="_Toc283886485"/>
      <w:r>
        <w:lastRenderedPageBreak/>
        <w:t>Beneficios e impacto</w:t>
      </w:r>
      <w:bookmarkEnd w:id="239"/>
    </w:p>
    <w:p w:rsidR="00673A79" w:rsidRDefault="00673A79" w:rsidP="00673A79">
      <w:r>
        <w:t xml:space="preserve">El beneficio de los proyectos involucra el valor económico que los usuarios perciben de los mismos y también el efecto favorable sobre el acuífero y el entorno general que pueden tener con respecto a la alternativa de no llevarlos a cabo. </w:t>
      </w:r>
    </w:p>
    <w:p w:rsidR="00673A79" w:rsidRDefault="00673A79" w:rsidP="00673A79">
      <w:r>
        <w:t>Las necesidades de sustentabilidad se interrelacionan en los ámbitos hidrológico, socioeconómico y ambiental, lo que hace del proyecto un reto en materia hidrológica, social y ambiental.  La ejecución de las acciones del plan de manejo tiene como efecto beneficios en estos ámbitos.</w:t>
      </w:r>
    </w:p>
    <w:p w:rsidR="00673A79" w:rsidRDefault="00673A79" w:rsidP="00673A79">
      <w:r>
        <w:t>En el ámbito hidrológico, el plan reducirá la sobreexplotación.</w:t>
      </w:r>
    </w:p>
    <w:p w:rsidR="00673A79" w:rsidRDefault="00673A79" w:rsidP="00673A79">
      <w:r>
        <w:t>En términos socioeconómicos, el plan promueve:</w:t>
      </w:r>
    </w:p>
    <w:p w:rsidR="00673A79" w:rsidRDefault="00673A79" w:rsidP="000E30F2">
      <w:pPr>
        <w:numPr>
          <w:ilvl w:val="0"/>
          <w:numId w:val="127"/>
        </w:numPr>
      </w:pPr>
      <w:r>
        <w:t>Una valoración del agua, que reconoce su costo real y más aún, el costo de la sustentabilidad.  A partir de ello se promueven cédulas de cultivo y políticas de aprovechamiento, que tomen en cuenta esta realidad y desarrollen únicamente actividades que no afecten al acuífero ni se vean afectadas por el costo del agua.</w:t>
      </w:r>
    </w:p>
    <w:p w:rsidR="00673A79" w:rsidRDefault="00673A79" w:rsidP="000E30F2">
      <w:pPr>
        <w:numPr>
          <w:ilvl w:val="0"/>
          <w:numId w:val="127"/>
        </w:numPr>
      </w:pPr>
      <w:r>
        <w:t>Se promueve el uso de los subsidios como instrumento de inversión y no a fondo perdido, así, especialmente el subsidio a la tarifa eléctrica, será aplicado a actividades productivas que lo justifican.  Al considerar que el proyecto evita una profundización adicional de 50 m en la carga de bombeo y que reduce el régimen de extracciones en una magnitud de 297 Mm³ se reduce el subsidio al consumo de energía, que sería suficiente para pagar el proyecto.</w:t>
      </w:r>
    </w:p>
    <w:p w:rsidR="00673A79" w:rsidRDefault="00673A79" w:rsidP="000E30F2">
      <w:pPr>
        <w:numPr>
          <w:ilvl w:val="0"/>
          <w:numId w:val="127"/>
        </w:numPr>
      </w:pPr>
      <w:r>
        <w:t xml:space="preserve">Al evitar la profundización de los niveles de bombeo, se reduce la restricción de pequeños aprovechamientos, que para las localidades rurales pueden resultar impagables.  </w:t>
      </w:r>
    </w:p>
    <w:p w:rsidR="00673A79" w:rsidRDefault="00673A79" w:rsidP="000E30F2">
      <w:pPr>
        <w:numPr>
          <w:ilvl w:val="0"/>
          <w:numId w:val="127"/>
        </w:numPr>
      </w:pPr>
      <w:r>
        <w:t>También se reducen los efectos de la consolidación del acuífero por drenado, que significan agrietamientos y hundimientos diferenciales, que junto con otros impactos de la sobreexplotación y el ahorro en costos de extracción, representan un beneficio superior a.</w:t>
      </w:r>
    </w:p>
    <w:p w:rsidR="00673A79" w:rsidRDefault="00673A79" w:rsidP="00673A79">
      <w:r>
        <w:t>En términos ambientales el proyecto propone restablecer el equilibrio hidrológico y así evitar el agotamiento del agua en éste medio, sin omitir la protección de la calidad del agua.</w:t>
      </w:r>
    </w:p>
    <w:p w:rsidR="00673A79" w:rsidRDefault="00673A79" w:rsidP="00673A79">
      <w:r>
        <w:t xml:space="preserve">El efecto de la estrategia de manejo del acuífero al año 2040, es un abatimiento considerablemente mayor que para el caso de un escenario inercial.  En términos piezométricos se presentarían menores abatimientos principalmente en las lagunas, con ello, se favorecería la prevalencia de humedales y del hábitat lagunar característico de la zona.  </w:t>
      </w:r>
    </w:p>
    <w:p w:rsidR="00673A79" w:rsidRDefault="00673A79" w:rsidP="00673A79">
      <w:r>
        <w:t>El escenario inercial, presenta una ligera tendencia a la baja en su aprovechamiento global del sector agrícola principalmente en la zona de Huamantla.  Esto se debe a la profundización de los niveles de bombeo que encarecen el aprovechamiento del agua subterránea.</w:t>
      </w:r>
    </w:p>
    <w:p w:rsidR="00673A79" w:rsidRDefault="00673A79" w:rsidP="00673A79">
      <w:r>
        <w:lastRenderedPageBreak/>
        <w:t>Es necesario destacar que para un escenario inercial, la reducción del aprovechamiento es consecuencia de un deterioro socioeconómico de la actividad agrícola, mientras que en un escenario sustentable, producto de llevar a cabo las acciones del plan de manejo, la reducción de aprovechamiento es consecuencia de un programa racional de estabilización del acuífero a través de programas de uso eficiente del agua asociados con un proceso de crecientes productividad del agua.</w:t>
      </w:r>
    </w:p>
    <w:p w:rsidR="00673A79" w:rsidRPr="00673A79" w:rsidRDefault="00673A79" w:rsidP="008011C2">
      <w:pPr>
        <w:pStyle w:val="Figura1cap12"/>
        <w:outlineLvl w:val="0"/>
        <w:rPr>
          <w:lang w:val="es-MX"/>
        </w:rPr>
      </w:pPr>
      <w:r w:rsidRPr="00673A79">
        <w:rPr>
          <w:lang w:val="es-MX"/>
        </w:rPr>
        <w:t>Figura comparativa de abatimientos previstos para el año 2040 al comparar un escenario con plan de manejo (izquierda), con una condición sin plan de manejo.</w:t>
      </w:r>
    </w:p>
    <w:p w:rsidR="00673A79" w:rsidRDefault="008011C2" w:rsidP="00673A79">
      <w:pPr>
        <w:jc w:val="center"/>
      </w:pPr>
      <w:r>
        <w:rPr>
          <w:b/>
          <w:noProof/>
          <w:color w:val="FF0000"/>
          <w:lang w:eastAsia="es-MX"/>
        </w:rPr>
        <w:drawing>
          <wp:anchor distT="0" distB="0" distL="114300" distR="114300" simplePos="0" relativeHeight="251657216" behindDoc="0" locked="0" layoutInCell="1" allowOverlap="1">
            <wp:simplePos x="0" y="0"/>
            <wp:positionH relativeFrom="column">
              <wp:posOffset>2873375</wp:posOffset>
            </wp:positionH>
            <wp:positionV relativeFrom="paragraph">
              <wp:posOffset>12700</wp:posOffset>
            </wp:positionV>
            <wp:extent cx="586740" cy="903605"/>
            <wp:effectExtent l="19050" t="0" r="3810" b="0"/>
            <wp:wrapNone/>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97" cstate="print"/>
                    <a:srcRect l="26414"/>
                    <a:stretch>
                      <a:fillRect/>
                    </a:stretch>
                  </pic:blipFill>
                  <pic:spPr bwMode="auto">
                    <a:xfrm>
                      <a:off x="0" y="0"/>
                      <a:ext cx="586740" cy="903605"/>
                    </a:xfrm>
                    <a:prstGeom prst="rect">
                      <a:avLst/>
                    </a:prstGeom>
                    <a:noFill/>
                    <a:ln w="9525">
                      <a:noFill/>
                      <a:miter lim="800000"/>
                      <a:headEnd/>
                      <a:tailEnd/>
                    </a:ln>
                  </pic:spPr>
                </pic:pic>
              </a:graphicData>
            </a:graphic>
          </wp:anchor>
        </w:drawing>
      </w:r>
      <w:r>
        <w:rPr>
          <w:b/>
          <w:noProof/>
          <w:color w:val="FF0000"/>
          <w:lang w:eastAsia="es-MX"/>
        </w:rPr>
        <w:drawing>
          <wp:inline distT="0" distB="0" distL="0" distR="0">
            <wp:extent cx="2943225" cy="2209800"/>
            <wp:effectExtent l="19050" t="0" r="9525" b="0"/>
            <wp:docPr id="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8" cstate="print"/>
                    <a:srcRect t="16342"/>
                    <a:stretch>
                      <a:fillRect/>
                    </a:stretch>
                  </pic:blipFill>
                  <pic:spPr bwMode="auto">
                    <a:xfrm>
                      <a:off x="0" y="0"/>
                      <a:ext cx="2943225" cy="2209800"/>
                    </a:xfrm>
                    <a:prstGeom prst="rect">
                      <a:avLst/>
                    </a:prstGeom>
                    <a:noFill/>
                    <a:ln w="9525">
                      <a:noFill/>
                      <a:miter lim="800000"/>
                      <a:headEnd/>
                      <a:tailEnd/>
                    </a:ln>
                  </pic:spPr>
                </pic:pic>
              </a:graphicData>
            </a:graphic>
          </wp:inline>
        </w:drawing>
      </w:r>
      <w:r>
        <w:rPr>
          <w:b/>
          <w:noProof/>
          <w:color w:val="FF0000"/>
          <w:lang w:eastAsia="es-MX"/>
        </w:rPr>
        <w:drawing>
          <wp:inline distT="0" distB="0" distL="0" distR="0">
            <wp:extent cx="2914650" cy="2190750"/>
            <wp:effectExtent l="19050" t="0" r="0" b="0"/>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9" cstate="print"/>
                    <a:srcRect l="29153" t="16988" r="18790" b="20016"/>
                    <a:stretch>
                      <a:fillRect/>
                    </a:stretch>
                  </pic:blipFill>
                  <pic:spPr bwMode="auto">
                    <a:xfrm>
                      <a:off x="0" y="0"/>
                      <a:ext cx="2914650" cy="2190750"/>
                    </a:xfrm>
                    <a:prstGeom prst="rect">
                      <a:avLst/>
                    </a:prstGeom>
                    <a:noFill/>
                    <a:ln w="9525">
                      <a:noFill/>
                      <a:miter lim="800000"/>
                      <a:headEnd/>
                      <a:tailEnd/>
                    </a:ln>
                  </pic:spPr>
                </pic:pic>
              </a:graphicData>
            </a:graphic>
          </wp:inline>
        </w:drawing>
      </w:r>
    </w:p>
    <w:p w:rsidR="00673A79" w:rsidRDefault="00673A79" w:rsidP="00673A79"/>
    <w:p w:rsidR="00565FAF" w:rsidRDefault="00565FAF" w:rsidP="000574FF"/>
    <w:p w:rsidR="00007268" w:rsidRDefault="00007268" w:rsidP="005573B4">
      <w:pPr>
        <w:pStyle w:val="Ttulo1"/>
      </w:pPr>
      <w:bookmarkStart w:id="240" w:name="_Toc283886486"/>
      <w:r>
        <w:lastRenderedPageBreak/>
        <w:t>Implementación</w:t>
      </w:r>
      <w:bookmarkEnd w:id="240"/>
    </w:p>
    <w:p w:rsidR="00A94E07" w:rsidRDefault="00A94E07" w:rsidP="00A94E07">
      <w:r>
        <w:t>Para llevar a cabo el cumplimiento de Objetivo General (</w:t>
      </w:r>
      <w:r w:rsidRPr="00843375">
        <w:rPr>
          <w:i/>
        </w:rPr>
        <w:t>Manejo sustentable del acuífero, para asegurar el desarrollo social, económico y ambiental de la región</w:t>
      </w:r>
      <w:r>
        <w:t xml:space="preserve">), el presente Plan de Manejo propone un orden logístico de ejecución basado en el Círculo de Mejora Continua de Edwards </w:t>
      </w:r>
      <w:proofErr w:type="spellStart"/>
      <w:r>
        <w:t>Deming</w:t>
      </w:r>
      <w:proofErr w:type="spellEnd"/>
      <w:r>
        <w:t xml:space="preserve">, el cual establece cuatro fases esenciales dentro de un proceso de planeación. Adaptado al presente estudio, el proceso respectivo queda representado en la </w:t>
      </w:r>
      <w:r w:rsidR="00BE2961">
        <w:fldChar w:fldCharType="begin"/>
      </w:r>
      <w:r>
        <w:instrText xml:space="preserve"> REF _Ref273717520 \r \h </w:instrText>
      </w:r>
      <w:r w:rsidR="00BE2961">
        <w:fldChar w:fldCharType="separate"/>
      </w:r>
      <w:r w:rsidR="001C36B4">
        <w:t>Figura 10.1</w:t>
      </w:r>
      <w:r w:rsidR="00BE2961">
        <w:fldChar w:fldCharType="end"/>
      </w:r>
      <w:r>
        <w:t>, donde cada una de las cuatro fases involucradas tiende al cumplimiento del Objetivo General.</w:t>
      </w:r>
    </w:p>
    <w:p w:rsidR="00A94E07" w:rsidRPr="003214D9" w:rsidRDefault="00A94E07" w:rsidP="008011C2">
      <w:pPr>
        <w:pStyle w:val="figura1cap10"/>
        <w:outlineLvl w:val="0"/>
      </w:pPr>
      <w:bookmarkStart w:id="241" w:name="_Ref273717520"/>
      <w:bookmarkStart w:id="242" w:name="_Toc273962885"/>
      <w:r w:rsidRPr="003214D9">
        <w:t>Procesos de mejora continua adaptado para la implementación del Plan de Manejo</w:t>
      </w:r>
      <w:bookmarkEnd w:id="241"/>
      <w:bookmarkEnd w:id="242"/>
    </w:p>
    <w:p w:rsidR="00A94E07" w:rsidRDefault="008011C2" w:rsidP="00A94E07">
      <w:pPr>
        <w:jc w:val="center"/>
      </w:pPr>
      <w:r>
        <w:rPr>
          <w:noProof/>
          <w:lang w:eastAsia="es-MX"/>
        </w:rPr>
        <w:drawing>
          <wp:inline distT="0" distB="0" distL="0" distR="0">
            <wp:extent cx="5686425" cy="2047875"/>
            <wp:effectExtent l="19050" t="0" r="9525" b="0"/>
            <wp:docPr id="72" name="Imagen 72" descr="Implementació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plementación1"/>
                    <pic:cNvPicPr>
                      <a:picLocks noChangeAspect="1" noChangeArrowheads="1"/>
                    </pic:cNvPicPr>
                  </pic:nvPicPr>
                  <pic:blipFill>
                    <a:blip r:embed="rId100" cstate="print"/>
                    <a:srcRect l="5026" t="23456" r="2327" b="32222"/>
                    <a:stretch>
                      <a:fillRect/>
                    </a:stretch>
                  </pic:blipFill>
                  <pic:spPr bwMode="auto">
                    <a:xfrm>
                      <a:off x="0" y="0"/>
                      <a:ext cx="5686425" cy="2047875"/>
                    </a:xfrm>
                    <a:prstGeom prst="rect">
                      <a:avLst/>
                    </a:prstGeom>
                    <a:noFill/>
                    <a:ln w="9525">
                      <a:noFill/>
                      <a:miter lim="800000"/>
                      <a:headEnd/>
                      <a:tailEnd/>
                    </a:ln>
                  </pic:spPr>
                </pic:pic>
              </a:graphicData>
            </a:graphic>
          </wp:inline>
        </w:drawing>
      </w:r>
    </w:p>
    <w:p w:rsidR="00A94E07" w:rsidRDefault="00A94E07" w:rsidP="00A94E07">
      <w:r>
        <w:t xml:space="preserve">Actualmente, la fase de Planeación se encuentra concluida con la elaboración del presente estudio, por lo cual, es necesario enfocarse en las restantes. </w:t>
      </w:r>
    </w:p>
    <w:p w:rsidR="00A94E07" w:rsidRDefault="00A94E07" w:rsidP="00A94E07">
      <w:r>
        <w:t xml:space="preserve">La fase de Realización implica poner en marcha cada una de las estrategias establecidas en la Matriz  de Planeación, la cual describe de forma detallada las acciones a realizar para cumplir cada uno de los Objetivos Específicos, y por ende, el Objetivo General. Importante es resaltar, que en esta fase será necesario realizar cada actividad dentro del contexto de la Gestión Integral de los Recursos Hídricos (GIRH), dando cumplimiento a uno de los principios establecidos dentro del proceso de Planeación Hídrica Nacional definido en el Programa Hídrico Nacional de la CONAGUA. Además, en tomo momento, deberá promoverse la Transversalidad Institucional como mecanismo para lograr resultados concretos, indiscutibles y no contradictorios. </w:t>
      </w:r>
    </w:p>
    <w:p w:rsidR="00EA1B6F" w:rsidRDefault="00EA1B6F" w:rsidP="00EA1B6F">
      <w:r>
        <w:t xml:space="preserve">Para la fase de Verificación el Comité Técnico de Aguas Subterráneas (COTAS) -entendido éste como Órgano Directivo, Gerencia Operativa, Secretaría Técnica y Asamblea de Usuarios- deberá supervisar el avance de cada estrategia, así como retroalimentarse con experiencias similares en distintas regiones del país, para de este modo evaluar el grado de avance al cual se ha llegado. </w:t>
      </w:r>
    </w:p>
    <w:p w:rsidR="00EA1B6F" w:rsidRDefault="00EA1B6F" w:rsidP="00A94E07"/>
    <w:p w:rsidR="00EA1B6F" w:rsidRDefault="00EA1B6F" w:rsidP="00A94E07"/>
    <w:p w:rsidR="00A94E07" w:rsidRPr="00CD6F60" w:rsidRDefault="00A94E07" w:rsidP="00A94E07">
      <w:pPr>
        <w:pStyle w:val="Tabla1cap10"/>
      </w:pPr>
      <w:bookmarkStart w:id="243" w:name="_Ref273718581"/>
      <w:bookmarkStart w:id="244" w:name="_Toc273962927"/>
      <w:r w:rsidRPr="00CD6F60">
        <w:lastRenderedPageBreak/>
        <w:t>Descripción de fases del proceso de Mejora Continúa adaptado al presente Plan de Manejo</w:t>
      </w:r>
      <w:bookmarkEnd w:id="243"/>
      <w:bookmarkEnd w:id="244"/>
    </w:p>
    <w:tbl>
      <w:tblPr>
        <w:tblW w:w="0" w:type="auto"/>
        <w:tblBorders>
          <w:top w:val="single" w:sz="8" w:space="0" w:color="8064A2"/>
          <w:left w:val="single" w:sz="8" w:space="0" w:color="8064A2"/>
          <w:bottom w:val="single" w:sz="8" w:space="0" w:color="8064A2"/>
          <w:right w:val="single" w:sz="8" w:space="0" w:color="8064A2"/>
        </w:tblBorders>
        <w:tblLook w:val="04A0"/>
      </w:tblPr>
      <w:tblGrid>
        <w:gridCol w:w="2457"/>
        <w:gridCol w:w="2457"/>
        <w:gridCol w:w="2457"/>
        <w:gridCol w:w="2457"/>
      </w:tblGrid>
      <w:tr w:rsidR="00A94E07" w:rsidRPr="00B63E22" w:rsidTr="003C7F1A">
        <w:tc>
          <w:tcPr>
            <w:tcW w:w="2457" w:type="dxa"/>
            <w:shd w:val="clear" w:color="auto" w:fill="8064A2"/>
            <w:vAlign w:val="center"/>
          </w:tcPr>
          <w:p w:rsidR="00A94E07" w:rsidRPr="00B63E22" w:rsidRDefault="00A94E07" w:rsidP="003C7F1A">
            <w:pPr>
              <w:spacing w:after="60" w:line="240" w:lineRule="auto"/>
              <w:ind w:firstLine="0"/>
              <w:jc w:val="center"/>
              <w:rPr>
                <w:b/>
                <w:bCs/>
                <w:color w:val="FFFFFF"/>
                <w:sz w:val="20"/>
              </w:rPr>
            </w:pPr>
            <w:r w:rsidRPr="00B63E22">
              <w:rPr>
                <w:b/>
                <w:bCs/>
                <w:color w:val="FFFFFF"/>
                <w:sz w:val="20"/>
              </w:rPr>
              <w:t>FASE DE CICLO DE MEJORA CONTINUA</w:t>
            </w:r>
          </w:p>
        </w:tc>
        <w:tc>
          <w:tcPr>
            <w:tcW w:w="2457" w:type="dxa"/>
            <w:shd w:val="clear" w:color="auto" w:fill="8064A2"/>
            <w:vAlign w:val="center"/>
          </w:tcPr>
          <w:p w:rsidR="00A94E07" w:rsidRPr="00B63E22" w:rsidRDefault="00A94E07" w:rsidP="003C7F1A">
            <w:pPr>
              <w:spacing w:after="60" w:line="240" w:lineRule="auto"/>
              <w:ind w:firstLine="0"/>
              <w:jc w:val="center"/>
              <w:rPr>
                <w:b/>
                <w:bCs/>
                <w:color w:val="FFFFFF"/>
                <w:sz w:val="20"/>
              </w:rPr>
            </w:pPr>
            <w:r w:rsidRPr="00B63E22">
              <w:rPr>
                <w:b/>
                <w:bCs/>
                <w:color w:val="FFFFFF"/>
                <w:sz w:val="20"/>
              </w:rPr>
              <w:t>ALCANCE</w:t>
            </w:r>
          </w:p>
        </w:tc>
        <w:tc>
          <w:tcPr>
            <w:tcW w:w="2457" w:type="dxa"/>
            <w:shd w:val="clear" w:color="auto" w:fill="8064A2"/>
            <w:vAlign w:val="center"/>
          </w:tcPr>
          <w:p w:rsidR="00A94E07" w:rsidRPr="00B63E22" w:rsidRDefault="00A94E07" w:rsidP="003C7F1A">
            <w:pPr>
              <w:spacing w:after="60" w:line="240" w:lineRule="auto"/>
              <w:ind w:firstLine="0"/>
              <w:jc w:val="center"/>
              <w:rPr>
                <w:b/>
                <w:bCs/>
                <w:color w:val="FFFFFF"/>
                <w:sz w:val="20"/>
              </w:rPr>
            </w:pPr>
            <w:r w:rsidRPr="00B63E22">
              <w:rPr>
                <w:b/>
                <w:bCs/>
                <w:color w:val="FFFFFF"/>
                <w:sz w:val="20"/>
              </w:rPr>
              <w:t>RESPONSABLES</w:t>
            </w:r>
          </w:p>
        </w:tc>
        <w:tc>
          <w:tcPr>
            <w:tcW w:w="2457" w:type="dxa"/>
            <w:shd w:val="clear" w:color="auto" w:fill="8064A2"/>
            <w:vAlign w:val="center"/>
          </w:tcPr>
          <w:p w:rsidR="00A94E07" w:rsidRPr="00B63E22" w:rsidRDefault="00A94E07" w:rsidP="003C7F1A">
            <w:pPr>
              <w:spacing w:after="60" w:line="240" w:lineRule="auto"/>
              <w:ind w:firstLine="0"/>
              <w:jc w:val="center"/>
              <w:rPr>
                <w:b/>
                <w:bCs/>
                <w:color w:val="FFFFFF"/>
                <w:sz w:val="20"/>
              </w:rPr>
            </w:pPr>
            <w:r w:rsidRPr="00B63E22">
              <w:rPr>
                <w:b/>
                <w:bCs/>
                <w:color w:val="FFFFFF"/>
                <w:sz w:val="20"/>
              </w:rPr>
              <w:t>OBSERVACIONES</w:t>
            </w:r>
          </w:p>
        </w:tc>
      </w:tr>
      <w:tr w:rsidR="00A94E07" w:rsidRPr="00B63E22" w:rsidTr="003C7F1A">
        <w:tc>
          <w:tcPr>
            <w:tcW w:w="2457" w:type="dxa"/>
            <w:tcBorders>
              <w:top w:val="single" w:sz="8" w:space="0" w:color="8064A2"/>
              <w:left w:val="single" w:sz="8" w:space="0" w:color="8064A2"/>
              <w:bottom w:val="single" w:sz="8" w:space="0" w:color="8064A2"/>
            </w:tcBorders>
            <w:vAlign w:val="center"/>
          </w:tcPr>
          <w:p w:rsidR="00A94E07" w:rsidRPr="00B63E22" w:rsidRDefault="00A94E07" w:rsidP="003C7F1A">
            <w:pPr>
              <w:spacing w:after="60" w:line="240" w:lineRule="auto"/>
              <w:ind w:firstLine="0"/>
              <w:jc w:val="left"/>
              <w:rPr>
                <w:b/>
                <w:bCs/>
                <w:sz w:val="20"/>
              </w:rPr>
            </w:pPr>
            <w:r w:rsidRPr="00B63E22">
              <w:rPr>
                <w:b/>
                <w:bCs/>
                <w:sz w:val="20"/>
              </w:rPr>
              <w:t>PLANEAR</w:t>
            </w:r>
          </w:p>
        </w:tc>
        <w:tc>
          <w:tcPr>
            <w:tcW w:w="2457" w:type="dxa"/>
            <w:tcBorders>
              <w:top w:val="single" w:sz="8" w:space="0" w:color="8064A2"/>
              <w:bottom w:val="single" w:sz="8" w:space="0" w:color="8064A2"/>
            </w:tcBorders>
            <w:vAlign w:val="center"/>
          </w:tcPr>
          <w:p w:rsidR="00A94E07" w:rsidRPr="00B63E22" w:rsidRDefault="00A94E07" w:rsidP="003C7F1A">
            <w:pPr>
              <w:spacing w:after="60" w:line="240" w:lineRule="auto"/>
              <w:ind w:firstLine="0"/>
              <w:jc w:val="left"/>
              <w:rPr>
                <w:sz w:val="20"/>
              </w:rPr>
            </w:pPr>
            <w:r w:rsidRPr="00B63E22">
              <w:rPr>
                <w:sz w:val="20"/>
              </w:rPr>
              <w:t>Plan de Manejo</w:t>
            </w:r>
          </w:p>
        </w:tc>
        <w:tc>
          <w:tcPr>
            <w:tcW w:w="2457" w:type="dxa"/>
            <w:tcBorders>
              <w:top w:val="single" w:sz="8" w:space="0" w:color="8064A2"/>
              <w:bottom w:val="single" w:sz="8" w:space="0" w:color="8064A2"/>
            </w:tcBorders>
          </w:tcPr>
          <w:p w:rsidR="00A94E07" w:rsidRPr="00B63E22" w:rsidRDefault="00A94E07" w:rsidP="003C7F1A">
            <w:pPr>
              <w:spacing w:after="60" w:line="240" w:lineRule="auto"/>
              <w:ind w:firstLine="0"/>
              <w:rPr>
                <w:sz w:val="20"/>
              </w:rPr>
            </w:pPr>
          </w:p>
        </w:tc>
        <w:tc>
          <w:tcPr>
            <w:tcW w:w="2457" w:type="dxa"/>
            <w:tcBorders>
              <w:top w:val="single" w:sz="8" w:space="0" w:color="8064A2"/>
              <w:bottom w:val="single" w:sz="8" w:space="0" w:color="8064A2"/>
              <w:right w:val="single" w:sz="8" w:space="0" w:color="8064A2"/>
            </w:tcBorders>
          </w:tcPr>
          <w:p w:rsidR="00A94E07" w:rsidRPr="00B63E22" w:rsidRDefault="00A94E07" w:rsidP="003C7F1A">
            <w:pPr>
              <w:spacing w:after="60" w:line="240" w:lineRule="auto"/>
              <w:ind w:firstLine="0"/>
              <w:rPr>
                <w:sz w:val="20"/>
              </w:rPr>
            </w:pPr>
          </w:p>
        </w:tc>
      </w:tr>
      <w:tr w:rsidR="00A94E07" w:rsidRPr="00B63E22" w:rsidTr="003C7F1A">
        <w:tc>
          <w:tcPr>
            <w:tcW w:w="2457" w:type="dxa"/>
            <w:vAlign w:val="center"/>
          </w:tcPr>
          <w:p w:rsidR="00A94E07" w:rsidRPr="00B63E22" w:rsidRDefault="00A94E07" w:rsidP="003C7F1A">
            <w:pPr>
              <w:spacing w:after="60" w:line="240" w:lineRule="auto"/>
              <w:ind w:firstLine="0"/>
              <w:jc w:val="left"/>
              <w:rPr>
                <w:b/>
                <w:bCs/>
                <w:sz w:val="20"/>
              </w:rPr>
            </w:pPr>
            <w:r w:rsidRPr="00B63E22">
              <w:rPr>
                <w:b/>
                <w:bCs/>
                <w:sz w:val="20"/>
              </w:rPr>
              <w:t>REALIZAR</w:t>
            </w:r>
          </w:p>
        </w:tc>
        <w:tc>
          <w:tcPr>
            <w:tcW w:w="2457" w:type="dxa"/>
            <w:vAlign w:val="center"/>
          </w:tcPr>
          <w:p w:rsidR="00A94E07" w:rsidRPr="00B63E22" w:rsidRDefault="00A94E07" w:rsidP="003C7F1A">
            <w:pPr>
              <w:spacing w:after="60" w:line="240" w:lineRule="auto"/>
              <w:ind w:firstLine="0"/>
              <w:jc w:val="left"/>
              <w:rPr>
                <w:sz w:val="20"/>
              </w:rPr>
            </w:pPr>
            <w:r w:rsidRPr="00B63E22">
              <w:rPr>
                <w:sz w:val="20"/>
              </w:rPr>
              <w:t>Cumplimiento de objetivos</w:t>
            </w:r>
          </w:p>
        </w:tc>
        <w:tc>
          <w:tcPr>
            <w:tcW w:w="2457" w:type="dxa"/>
          </w:tcPr>
          <w:p w:rsidR="00A94E07" w:rsidRPr="00B63E22" w:rsidRDefault="00A94E07" w:rsidP="003C7F1A">
            <w:pPr>
              <w:spacing w:after="60" w:line="240" w:lineRule="auto"/>
              <w:ind w:firstLine="0"/>
              <w:rPr>
                <w:sz w:val="20"/>
              </w:rPr>
            </w:pPr>
            <w:r w:rsidRPr="00B63E22">
              <w:rPr>
                <w:sz w:val="20"/>
              </w:rPr>
              <w:t xml:space="preserve">Dependencias diversas a nivel federal, estatal y municipal; instituciones académicas, </w:t>
            </w:r>
            <w:proofErr w:type="spellStart"/>
            <w:r w:rsidRPr="00B63E22">
              <w:rPr>
                <w:sz w:val="20"/>
              </w:rPr>
              <w:t>ONG’s</w:t>
            </w:r>
            <w:proofErr w:type="spellEnd"/>
            <w:r w:rsidRPr="00B63E22">
              <w:rPr>
                <w:sz w:val="20"/>
              </w:rPr>
              <w:t>, sectores usuario, sociedad en general.</w:t>
            </w:r>
          </w:p>
        </w:tc>
        <w:tc>
          <w:tcPr>
            <w:tcW w:w="2457" w:type="dxa"/>
          </w:tcPr>
          <w:p w:rsidR="00A94E07" w:rsidRPr="00B63E22" w:rsidRDefault="00A94E07" w:rsidP="003C7F1A">
            <w:pPr>
              <w:spacing w:after="60" w:line="240" w:lineRule="auto"/>
              <w:ind w:firstLine="0"/>
              <w:rPr>
                <w:sz w:val="20"/>
              </w:rPr>
            </w:pPr>
            <w:r w:rsidRPr="00B63E22">
              <w:rPr>
                <w:sz w:val="20"/>
              </w:rPr>
              <w:t>Fase necesariamente a realizar bajo el esquema de Gestión Integral de Recursos Hídricos y Transversalidad Institucional.</w:t>
            </w:r>
          </w:p>
        </w:tc>
      </w:tr>
      <w:tr w:rsidR="00A94E07" w:rsidRPr="00B63E22" w:rsidTr="003C7F1A">
        <w:tc>
          <w:tcPr>
            <w:tcW w:w="2457" w:type="dxa"/>
            <w:tcBorders>
              <w:top w:val="single" w:sz="8" w:space="0" w:color="8064A2"/>
              <w:left w:val="single" w:sz="8" w:space="0" w:color="8064A2"/>
              <w:bottom w:val="single" w:sz="8" w:space="0" w:color="8064A2"/>
            </w:tcBorders>
            <w:vAlign w:val="center"/>
          </w:tcPr>
          <w:p w:rsidR="00A94E07" w:rsidRPr="00B63E22" w:rsidRDefault="00A94E07" w:rsidP="003C7F1A">
            <w:pPr>
              <w:spacing w:after="60" w:line="240" w:lineRule="auto"/>
              <w:ind w:firstLine="0"/>
              <w:jc w:val="left"/>
              <w:rPr>
                <w:b/>
                <w:bCs/>
                <w:sz w:val="20"/>
              </w:rPr>
            </w:pPr>
            <w:r w:rsidRPr="00B63E22">
              <w:rPr>
                <w:b/>
                <w:bCs/>
                <w:sz w:val="20"/>
              </w:rPr>
              <w:t>VERIFICAR</w:t>
            </w:r>
          </w:p>
        </w:tc>
        <w:tc>
          <w:tcPr>
            <w:tcW w:w="2457" w:type="dxa"/>
            <w:tcBorders>
              <w:top w:val="single" w:sz="8" w:space="0" w:color="8064A2"/>
              <w:bottom w:val="single" w:sz="8" w:space="0" w:color="8064A2"/>
            </w:tcBorders>
            <w:vAlign w:val="center"/>
          </w:tcPr>
          <w:p w:rsidR="00A94E07" w:rsidRPr="00B63E22" w:rsidRDefault="00A94E07" w:rsidP="003C7F1A">
            <w:pPr>
              <w:spacing w:after="60" w:line="240" w:lineRule="auto"/>
              <w:ind w:firstLine="0"/>
              <w:jc w:val="left"/>
              <w:rPr>
                <w:sz w:val="20"/>
              </w:rPr>
            </w:pPr>
            <w:r w:rsidRPr="00B63E22">
              <w:rPr>
                <w:sz w:val="20"/>
              </w:rPr>
              <w:t>Seguimiento de indicadores</w:t>
            </w:r>
          </w:p>
        </w:tc>
        <w:tc>
          <w:tcPr>
            <w:tcW w:w="2457" w:type="dxa"/>
            <w:tcBorders>
              <w:top w:val="single" w:sz="8" w:space="0" w:color="8064A2"/>
              <w:bottom w:val="single" w:sz="8" w:space="0" w:color="8064A2"/>
            </w:tcBorders>
          </w:tcPr>
          <w:p w:rsidR="00A94E07" w:rsidRPr="00B63E22" w:rsidRDefault="00A94E07" w:rsidP="003C7F1A">
            <w:pPr>
              <w:spacing w:after="60" w:line="240" w:lineRule="auto"/>
              <w:ind w:firstLine="0"/>
              <w:rPr>
                <w:sz w:val="20"/>
              </w:rPr>
            </w:pPr>
            <w:r w:rsidRPr="00B63E22">
              <w:rPr>
                <w:sz w:val="20"/>
              </w:rPr>
              <w:t>Comité Técnico de Aguas Subterráneas (Órgano Directivo, Gerencia Operativa, Secretaría Técnica, Asamblea de Usuarios).</w:t>
            </w:r>
          </w:p>
        </w:tc>
        <w:tc>
          <w:tcPr>
            <w:tcW w:w="2457" w:type="dxa"/>
            <w:tcBorders>
              <w:top w:val="single" w:sz="8" w:space="0" w:color="8064A2"/>
              <w:bottom w:val="single" w:sz="8" w:space="0" w:color="8064A2"/>
              <w:right w:val="single" w:sz="8" w:space="0" w:color="8064A2"/>
            </w:tcBorders>
          </w:tcPr>
          <w:p w:rsidR="00A94E07" w:rsidRPr="00B63E22" w:rsidRDefault="00A94E07" w:rsidP="003C7F1A">
            <w:pPr>
              <w:spacing w:after="60" w:line="240" w:lineRule="auto"/>
              <w:ind w:firstLine="0"/>
              <w:rPr>
                <w:sz w:val="20"/>
              </w:rPr>
            </w:pPr>
            <w:r w:rsidRPr="00B63E22">
              <w:rPr>
                <w:sz w:val="20"/>
              </w:rPr>
              <w:t>Actividad anual.</w:t>
            </w:r>
          </w:p>
        </w:tc>
      </w:tr>
      <w:tr w:rsidR="00A94E07" w:rsidRPr="00B63E22" w:rsidTr="003C7F1A">
        <w:tc>
          <w:tcPr>
            <w:tcW w:w="2457" w:type="dxa"/>
            <w:vAlign w:val="center"/>
          </w:tcPr>
          <w:p w:rsidR="00A94E07" w:rsidRPr="00B63E22" w:rsidRDefault="00A94E07" w:rsidP="003C7F1A">
            <w:pPr>
              <w:spacing w:after="60" w:line="240" w:lineRule="auto"/>
              <w:ind w:firstLine="0"/>
              <w:jc w:val="left"/>
              <w:rPr>
                <w:b/>
                <w:bCs/>
                <w:sz w:val="20"/>
              </w:rPr>
            </w:pPr>
            <w:r w:rsidRPr="00B63E22">
              <w:rPr>
                <w:b/>
                <w:bCs/>
                <w:sz w:val="20"/>
              </w:rPr>
              <w:t>ACTUAR</w:t>
            </w:r>
          </w:p>
        </w:tc>
        <w:tc>
          <w:tcPr>
            <w:tcW w:w="2457" w:type="dxa"/>
            <w:vAlign w:val="center"/>
          </w:tcPr>
          <w:p w:rsidR="00A94E07" w:rsidRPr="00B63E22" w:rsidRDefault="00A94E07" w:rsidP="003C7F1A">
            <w:pPr>
              <w:spacing w:after="60" w:line="240" w:lineRule="auto"/>
              <w:ind w:firstLine="0"/>
              <w:jc w:val="left"/>
              <w:rPr>
                <w:sz w:val="20"/>
              </w:rPr>
            </w:pPr>
            <w:r w:rsidRPr="00B63E22">
              <w:rPr>
                <w:sz w:val="20"/>
              </w:rPr>
              <w:t>Actualización de Plan de Manejo</w:t>
            </w:r>
          </w:p>
        </w:tc>
        <w:tc>
          <w:tcPr>
            <w:tcW w:w="2457" w:type="dxa"/>
          </w:tcPr>
          <w:p w:rsidR="00A94E07" w:rsidRPr="00B63E22" w:rsidRDefault="00A94E07" w:rsidP="003C7F1A">
            <w:pPr>
              <w:spacing w:after="60" w:line="240" w:lineRule="auto"/>
              <w:ind w:firstLine="0"/>
              <w:rPr>
                <w:sz w:val="20"/>
              </w:rPr>
            </w:pPr>
            <w:r w:rsidRPr="00B63E22">
              <w:rPr>
                <w:sz w:val="20"/>
              </w:rPr>
              <w:t>Comité Técnico de Aguas Subterráneas (Gerencia Operativa).</w:t>
            </w:r>
          </w:p>
        </w:tc>
        <w:tc>
          <w:tcPr>
            <w:tcW w:w="2457" w:type="dxa"/>
          </w:tcPr>
          <w:p w:rsidR="00A94E07" w:rsidRPr="00B63E22" w:rsidRDefault="00A94E07" w:rsidP="003C7F1A">
            <w:pPr>
              <w:spacing w:after="60" w:line="240" w:lineRule="auto"/>
              <w:ind w:firstLine="0"/>
              <w:rPr>
                <w:sz w:val="20"/>
              </w:rPr>
            </w:pPr>
          </w:p>
        </w:tc>
      </w:tr>
    </w:tbl>
    <w:p w:rsidR="00A94E07" w:rsidRDefault="00A94E07" w:rsidP="00A94E07"/>
    <w:p w:rsidR="00A94E07" w:rsidRDefault="00A94E07" w:rsidP="00A94E07">
      <w:r>
        <w:t>En la fase de Actuación, será necesario que con la retroalimentación obtenida en la fase anterior, se ubiquen y se atiendan áreas de oportunidad en la mejora del presente Plan de Manejo, ajustándolo a la realidad cambiante que se espera, en términos técnicos, económicos y administrativos.</w:t>
      </w:r>
    </w:p>
    <w:p w:rsidR="00A94E07" w:rsidRDefault="00A94E07" w:rsidP="00A94E07">
      <w:r>
        <w:t xml:space="preserve">Cada una de las fases involucradas se detalla en la </w:t>
      </w:r>
      <w:r w:rsidR="00BE2961">
        <w:fldChar w:fldCharType="begin"/>
      </w:r>
      <w:r>
        <w:instrText xml:space="preserve"> REF _Ref273718581 \r \h </w:instrText>
      </w:r>
      <w:r w:rsidR="00BE2961">
        <w:fldChar w:fldCharType="separate"/>
      </w:r>
      <w:r w:rsidR="001C36B4">
        <w:t>Tabla 10.1</w:t>
      </w:r>
      <w:r w:rsidR="00BE2961">
        <w:fldChar w:fldCharType="end"/>
      </w:r>
      <w:r>
        <w:t>, en la cual se incluyen los responsables de cada una de ellas así  como otras observaciones. Cabe resaltar, que la atención cada una de estas fases deber  incluirse dentro del Programa Anual de Actividades del COTAS Huamantla-Libres Oriental-Perote.</w:t>
      </w:r>
    </w:p>
    <w:p w:rsidR="00A94E07" w:rsidRDefault="00A94E07" w:rsidP="00A94E07">
      <w:r>
        <w:t>Dentro de este mismo esquema de Mejora Continua, también se destaca la identificación de Acciones Principales y Acciones de Apoyo; sin embargo, para efectos del presente documento, se añade un tercer tipo de acciones, las llamadas Preliminares. Algunas de esta estás,  desafortunadamente dependen de situaciones externas con diversos grados de dificultad para incidir en ellas (p. ej.: cambio en mercados agrícolas internacionales; variaciones macroeconómicas globales; intensidad de eventos hidroclimatológicos extremos, etc.), mas sin embargo, otras tantas involucran la participación real y continua de cada uno de los principales involucrados a este proyecto.</w:t>
      </w:r>
    </w:p>
    <w:p w:rsidR="0089569B" w:rsidRPr="0089569B" w:rsidRDefault="00A94E07" w:rsidP="0089569B">
      <w:pPr>
        <w:outlineLvl w:val="0"/>
        <w:rPr>
          <w:b/>
          <w:smallCaps/>
          <w:sz w:val="24"/>
          <w:szCs w:val="24"/>
        </w:rPr>
      </w:pPr>
      <w:r w:rsidRPr="0089569B">
        <w:rPr>
          <w:b/>
          <w:smallCaps/>
          <w:sz w:val="24"/>
          <w:szCs w:val="24"/>
        </w:rPr>
        <w:t>Acciones Preliminares</w:t>
      </w:r>
      <w:r w:rsidR="00B3693E" w:rsidRPr="0089569B">
        <w:rPr>
          <w:b/>
          <w:smallCaps/>
          <w:sz w:val="24"/>
          <w:szCs w:val="24"/>
        </w:rPr>
        <w:t xml:space="preserve"> </w:t>
      </w:r>
    </w:p>
    <w:p w:rsidR="00A94E07" w:rsidRDefault="00A94E07" w:rsidP="0089569B">
      <w:pPr>
        <w:outlineLvl w:val="0"/>
      </w:pPr>
      <w:r>
        <w:t xml:space="preserve">Hablar de obras hidráulicas, cultivos, medio ambiente y economía es muy sencillo; la organización, el compromiso social y la gestión de recursos financieros, se proyecta más difícil.  La </w:t>
      </w:r>
      <w:r>
        <w:lastRenderedPageBreak/>
        <w:t>realidad es que la sobreexplotación se debe más a la falta de estos últimos factores, que a la falta de proyectos; luego entonces, el presente Plan de Manejo parte de la premisa de que se darán como un hecho distintas situaciones que a continuación se enlista.</w:t>
      </w:r>
    </w:p>
    <w:p w:rsidR="00A94E07" w:rsidRDefault="00A94E07" w:rsidP="00D271DE">
      <w:pPr>
        <w:numPr>
          <w:ilvl w:val="0"/>
          <w:numId w:val="103"/>
        </w:numPr>
      </w:pPr>
      <w:r>
        <w:t>Consolidación jurídica, técnica, administrativa  y social de la Gerencia Operativa</w:t>
      </w:r>
    </w:p>
    <w:p w:rsidR="00A94E07" w:rsidRDefault="00A94E07" w:rsidP="00A94E07">
      <w:pPr>
        <w:ind w:left="644" w:firstLine="0"/>
      </w:pPr>
      <w:r>
        <w:t>Dado que la Gerencia Operativa es el órgano operativo del COTAS, deberá acreditar su existencia en términos de una representación social indiscutible, una capacidad  profesional adecuada, así como de una conjunción de elementos técnicos y humanos suficientes para cumplir con las expectativas fincadas en dicho órgano.</w:t>
      </w:r>
    </w:p>
    <w:p w:rsidR="00A94E07" w:rsidRDefault="00A94E07" w:rsidP="00D271DE">
      <w:pPr>
        <w:numPr>
          <w:ilvl w:val="0"/>
          <w:numId w:val="103"/>
        </w:numPr>
      </w:pPr>
      <w:r>
        <w:t>Financiamiento oportuno y suficiente al COTAS</w:t>
      </w:r>
    </w:p>
    <w:p w:rsidR="00A94E07" w:rsidRDefault="00A94E07" w:rsidP="00A94E07">
      <w:pPr>
        <w:ind w:left="644" w:firstLine="0"/>
      </w:pPr>
      <w:r>
        <w:t xml:space="preserve">Para efectos de cumplir con las estrategias derivadas en este Plan de Manejo, antes que financiar cualquier proyecto específico, deberá asegurarse en el plazo inmediato, el financiamiento real, oportuno y continuo para efectos únicamente de mantener funcionando la Gerencia Operativa en el corto, mediano y largo plazo. </w:t>
      </w:r>
    </w:p>
    <w:p w:rsidR="00A94E07" w:rsidRDefault="00A94E07" w:rsidP="00A94E07">
      <w:pPr>
        <w:ind w:left="644" w:firstLine="0"/>
      </w:pPr>
      <w:r>
        <w:t>Esta actividad es toral para el logro de los objetivos generales y específicos que se pretenden alcanzar con este Plan de Manejo.</w:t>
      </w:r>
    </w:p>
    <w:p w:rsidR="00A94E07" w:rsidRDefault="00A94E07" w:rsidP="00A94E07">
      <w:pPr>
        <w:ind w:left="644" w:firstLine="0"/>
      </w:pPr>
      <w:r>
        <w:t>Se reconoce la existencia de Convenios de Coordinación entre la Comisión Nacional del Agua y los gobiernos estatales para alcanzar la mezcla de recursos que dan sustento a la Gerencia Operativa, en particular, y al COTAS en general, sin embargo, la falta de un esquema real que asegure estos recursos año con año es baja, por lo cual, se recomienda la búsqueda de recursos adicionales para efectos de mantener la continuidad de este órgano operativo.</w:t>
      </w:r>
    </w:p>
    <w:p w:rsidR="00A94E07" w:rsidRDefault="00A94E07" w:rsidP="00A94E07">
      <w:pPr>
        <w:ind w:left="644" w:firstLine="0"/>
      </w:pPr>
      <w:r>
        <w:t>Se da por un hecho, que año con año, se recibirán recursos públicos provenientes del mencionado Convenio de Coordinación entre la CONAGUA y los gobiernos estatales.</w:t>
      </w:r>
    </w:p>
    <w:p w:rsidR="00A94E07" w:rsidRDefault="00A94E07" w:rsidP="00D271DE">
      <w:pPr>
        <w:numPr>
          <w:ilvl w:val="0"/>
          <w:numId w:val="103"/>
        </w:numPr>
      </w:pPr>
      <w:r>
        <w:t>Desempeño de funciones al interior del COTAS</w:t>
      </w:r>
    </w:p>
    <w:p w:rsidR="00A94E07" w:rsidRDefault="00A94E07" w:rsidP="00A94E07">
      <w:pPr>
        <w:ind w:left="644" w:firstLine="0"/>
      </w:pPr>
      <w:r>
        <w:t>Un proyecto al nivel del presente Plan de Manejo requiere del consenso, crítica constructiva y apoyo incondicional de la totalidad de actores, dado que no se pretende conseguir beneficios particulares, sino un beneficio en común que incida positivamente en  la calidad de vida de cientos de miles de pobladores, actuales y a futuro.</w:t>
      </w:r>
    </w:p>
    <w:p w:rsidR="00A94E07" w:rsidRDefault="00A94E07" w:rsidP="00A94E07">
      <w:pPr>
        <w:ind w:left="644" w:firstLine="0"/>
      </w:pPr>
      <w:r>
        <w:t>Así pues, se da por un hecho de que cada uno de los involucrados en el COTAS cumplirá a cabalidad las respectivas funciones establecidas en las Reglas de Organización y Funcionamiento de los Consejos de Cuenca. Lo anterior aplica desde el nivel de Representante de Sector Usuario hasta Presidente, siendo éste último elemento importante para efectos de gestionar la realización de diversas acciones especificas en diferentes niveles institucionales.</w:t>
      </w:r>
    </w:p>
    <w:p w:rsidR="00A94E07" w:rsidRDefault="00A94E07" w:rsidP="00D271DE">
      <w:pPr>
        <w:numPr>
          <w:ilvl w:val="0"/>
          <w:numId w:val="103"/>
        </w:numPr>
      </w:pPr>
      <w:r>
        <w:t>Incrustación del Plan de Manejo en políticas y programas de desarrollo multisectorial</w:t>
      </w:r>
    </w:p>
    <w:p w:rsidR="00A94E07" w:rsidRDefault="00A94E07" w:rsidP="00A94E07">
      <w:pPr>
        <w:ind w:left="644" w:firstLine="0"/>
      </w:pPr>
      <w:r>
        <w:lastRenderedPageBreak/>
        <w:t xml:space="preserve">En la estructuración de diferentes estrategias se reconoce que las distintas problemáticas y realidades que deben enfrentarse para lograr, en primera instancia, frenar los niveles de aprovechamiento de agua subterránea, y posteriormente, incidir en la recuperación de los volúmenes de almacenamiento, se requieren de esfuerzos multisectoriales y </w:t>
      </w:r>
      <w:proofErr w:type="spellStart"/>
      <w:r>
        <w:t>multitemporales</w:t>
      </w:r>
      <w:proofErr w:type="spellEnd"/>
      <w:r>
        <w:t xml:space="preserve">. </w:t>
      </w:r>
    </w:p>
    <w:p w:rsidR="00A94E07" w:rsidRDefault="00A94E07" w:rsidP="00A94E07">
      <w:pPr>
        <w:ind w:left="644" w:firstLine="0"/>
      </w:pPr>
      <w:r>
        <w:t>Diversas Líneas Estratégicas, de Acción o Actividades Particulares, requieren de la participación total o parcial de diferentes dependencias e instituciones involucradas directa e indirectamente en la administración de aguas superficiales y subterráneas; de tal forma, se requiere el compromiso real y permanente de cada una de ellas.</w:t>
      </w:r>
    </w:p>
    <w:p w:rsidR="00A94E07" w:rsidRDefault="00A94E07" w:rsidP="00A94E07">
      <w:pPr>
        <w:ind w:left="644" w:firstLine="0"/>
      </w:pPr>
      <w:r>
        <w:t>Por lo anterior, el Plan de Manejo deberá ser difundido en los distintos sectores de la administración pública a nivel federal, estatal y municipal; esto con la finalidad de comprometer recursos y acciones para efecto de cumplir los objetivos establecidos en dicho documento, logrando con ello cumplir el alcance de la Gestión Integral de los Recursos Hídricos.</w:t>
      </w:r>
    </w:p>
    <w:p w:rsidR="00A94E07" w:rsidRPr="0089569B" w:rsidRDefault="00A94E07" w:rsidP="0089569B">
      <w:pPr>
        <w:outlineLvl w:val="0"/>
        <w:rPr>
          <w:b/>
          <w:smallCaps/>
          <w:sz w:val="24"/>
          <w:szCs w:val="24"/>
        </w:rPr>
      </w:pPr>
      <w:r w:rsidRPr="0089569B">
        <w:rPr>
          <w:b/>
          <w:smallCaps/>
          <w:sz w:val="24"/>
          <w:szCs w:val="24"/>
        </w:rPr>
        <w:t>Acciones Principales</w:t>
      </w:r>
      <w:r w:rsidR="0089569B">
        <w:rPr>
          <w:b/>
          <w:smallCaps/>
          <w:sz w:val="24"/>
          <w:szCs w:val="24"/>
        </w:rPr>
        <w:t xml:space="preserve"> </w:t>
      </w:r>
    </w:p>
    <w:p w:rsidR="00A94E07" w:rsidRDefault="00A94E07" w:rsidP="00A94E07">
      <w:r>
        <w:t xml:space="preserve">Dentro del contexto de Acciones Principales se describen diversas actividades de tipo técnico, administrativo, económico  y organizacional que se visualizan con un rango elevado en el cumplimiento de los objetivos del presente Plan de Manejo. Entre dichas acciones se encuentran las listadas a continuación:  </w:t>
      </w:r>
    </w:p>
    <w:p w:rsidR="00A94E07" w:rsidRDefault="00A94E07" w:rsidP="00D271DE">
      <w:pPr>
        <w:numPr>
          <w:ilvl w:val="0"/>
          <w:numId w:val="104"/>
        </w:numPr>
      </w:pPr>
      <w:r>
        <w:t xml:space="preserve">Instalación y operación de </w:t>
      </w:r>
      <w:proofErr w:type="spellStart"/>
      <w:r>
        <w:t>macromedidores</w:t>
      </w:r>
      <w:proofErr w:type="spellEnd"/>
      <w:r>
        <w:t xml:space="preserve"> en pozos de aprovechamiento de aguas subterránea.</w:t>
      </w:r>
    </w:p>
    <w:p w:rsidR="00A94E07" w:rsidRDefault="00A94E07" w:rsidP="00A94E07">
      <w:pPr>
        <w:ind w:left="644" w:firstLine="0"/>
      </w:pPr>
      <w:r>
        <w:t>Se reconoce que una de las problemáticas para un conocimiento más real de los patrones de aprovechamiento de agua subterránea es la carencia de información al respecto, y como consecuencia de esta situación, la planeación hídrica adquiere un cierto nivel de incertidumbre en su diagnóstico y diseño de soluciones. Así pues, para cumplir también jurídicamente, es necesario instrumentar la totalidad de los aprovechamientos existentes en el acuífero Huamantla-Libres Oriental-Perote, específicamente, en lo referente al sector usuario de mayor volumen de aprovechamiento: el agrícola.</w:t>
      </w:r>
    </w:p>
    <w:p w:rsidR="00A94E07" w:rsidRDefault="00A94E07" w:rsidP="00D271DE">
      <w:pPr>
        <w:numPr>
          <w:ilvl w:val="0"/>
          <w:numId w:val="104"/>
        </w:numPr>
      </w:pPr>
      <w:r>
        <w:t>Regularización el Registro Público de Derechos de Agua, REPDA</w:t>
      </w:r>
    </w:p>
    <w:p w:rsidR="00A94E07" w:rsidRDefault="00A94E07" w:rsidP="00A94E07">
      <w:pPr>
        <w:ind w:left="644" w:firstLine="0"/>
      </w:pPr>
      <w:r>
        <w:t>Actualmente se han realizado  diversos esfuerzo para la actualización del REPDA en distintos acuíferos del país, más sin embargo, es imprescindible e impostergable la realización de un Censo de Aprovechamiento en la zona de interés que de una aproximación real del grado de intensidad en este aspecto. Aun más importante, es que dicha censo sea base de apoyo para la actualización del REPDA en aspectos como: ubicación geográfica del aprovechamiento, volumen real aprovechado y situación legal, entre otros.</w:t>
      </w:r>
    </w:p>
    <w:p w:rsidR="00A94E07" w:rsidRDefault="00A94E07" w:rsidP="00D271DE">
      <w:pPr>
        <w:numPr>
          <w:ilvl w:val="0"/>
          <w:numId w:val="104"/>
        </w:numPr>
      </w:pPr>
      <w:r>
        <w:lastRenderedPageBreak/>
        <w:t>Delimitación y decreto de una zona de protección del acuífero y reserva de agua subterránea para la estabilidad de la zona urbano-industrial</w:t>
      </w:r>
    </w:p>
    <w:p w:rsidR="00A94E07" w:rsidRDefault="00A94E07" w:rsidP="00A94E07">
      <w:pPr>
        <w:ind w:left="644" w:firstLine="0"/>
      </w:pPr>
      <w:r>
        <w:t>Reconociendo que en términos de disponibilidad de agua a futuro, el cambio climático global depara escenarios complejos, es necesario que desde hoy se protejan las áreas identificadas en este estudio como Zonas Estratégicas Hidrológicamente, con la finalidad de asegurar la continuidad del ciclo hidrológico en el acuífero HLOP.</w:t>
      </w:r>
    </w:p>
    <w:p w:rsidR="00A94E07" w:rsidRDefault="00A94E07" w:rsidP="00D271DE">
      <w:pPr>
        <w:numPr>
          <w:ilvl w:val="0"/>
          <w:numId w:val="104"/>
        </w:numPr>
      </w:pPr>
      <w:r>
        <w:t>Reglamentación del acuífero y su zonificación para fines operativos</w:t>
      </w:r>
    </w:p>
    <w:p w:rsidR="00A94E07" w:rsidRDefault="00A94E07" w:rsidP="00A94E07">
      <w:pPr>
        <w:ind w:left="644" w:firstLine="0"/>
      </w:pPr>
      <w:r>
        <w:t xml:space="preserve">Para efectos de un mejor aprovechamiento de los recursos subterráneos en la cuenca de Oriental, la zonificación y el establecimiento de medidas óptimas según la disponibilidad de agua representan una estrategia de suma importancia para frenar los niveles de aprovechamiento actual y sentar las bases para la posterior recuperación del acuífero Huamantla-Libres Oriental-Perote. </w:t>
      </w:r>
    </w:p>
    <w:p w:rsidR="00A94E07" w:rsidRDefault="00A94E07" w:rsidP="00A94E07">
      <w:pPr>
        <w:ind w:left="644" w:firstLine="0"/>
      </w:pPr>
      <w:r>
        <w:t xml:space="preserve">A partir de esta reglamentación se conferirá una mayor autoridad al COTAS para promover las acciones de estabilización del acuífero. Este reglamento deberá en su momento ser consensuado con todos los sectores involucrados para incrementar su grado de cumplimiento. </w:t>
      </w:r>
    </w:p>
    <w:p w:rsidR="00A94E07" w:rsidRDefault="00A94E07" w:rsidP="00A94E07">
      <w:r>
        <w:t>h)</w:t>
      </w:r>
      <w:r>
        <w:tab/>
        <w:t xml:space="preserve">Fortalecimiento técnico del sector agrícola  </w:t>
      </w:r>
    </w:p>
    <w:p w:rsidR="00A94E07" w:rsidRDefault="00A94E07" w:rsidP="00A94E07">
      <w:pPr>
        <w:ind w:left="708" w:firstLine="0"/>
      </w:pPr>
      <w:r>
        <w:t xml:space="preserve">El sector agrícola se presenta como uno de los mayores usuarios respecto al aprovechamiento del recurso agua en la zona, por ello, es imprescindible que su fortalecimiento se refleje en mejorar el aprovechamiento del agua en la zona. </w:t>
      </w:r>
    </w:p>
    <w:p w:rsidR="00A94E07" w:rsidRPr="006805FA" w:rsidRDefault="00A94E07" w:rsidP="00A94E07">
      <w:pPr>
        <w:ind w:left="708" w:firstLine="0"/>
      </w:pPr>
      <w:r>
        <w:t xml:space="preserve">Dicho fortalecimiento es necesario en rubros técnicos, comerciales y de organización. Estos en su conjunto, incidirán de manera directa no solo en sentar las bases de una sustentabilidad hídrico-ambiental, sino también, elevar la calidad de vida de la población directamente inmersa en este sector. </w:t>
      </w:r>
    </w:p>
    <w:p w:rsidR="00A94E07" w:rsidRDefault="00A94E07" w:rsidP="00A94E07">
      <w:r>
        <w:t>j)</w:t>
      </w:r>
      <w:r>
        <w:tab/>
        <w:t xml:space="preserve">Fortalecimiento técnico y financiero de los organismos operadores.  </w:t>
      </w:r>
    </w:p>
    <w:p w:rsidR="00A94E07" w:rsidRDefault="00A94E07" w:rsidP="00A94E07">
      <w:pPr>
        <w:ind w:left="708" w:firstLine="0"/>
      </w:pPr>
      <w:r>
        <w:t>Al igual que el sector agrícola, el público-urbano requiere de su depuración, estructuración y fortalecimiento en áreas técnicas, administrativas y financieras. Este punto adquiere relevancia al reconocer que las eficiencias ligadas a ellos inciden sobre todo en localidades urbanas que sustentan diversas actividades productivas como son: la industria, el comercio, los servicios, etc.</w:t>
      </w:r>
    </w:p>
    <w:p w:rsidR="00A94E07" w:rsidRDefault="00A94E07" w:rsidP="00A94E07">
      <w:pPr>
        <w:ind w:left="708" w:firstLine="0"/>
      </w:pPr>
      <w:r>
        <w:t xml:space="preserve">Específicamente se requiere acciones en la ejecución y seguimiento de planes de reducción de fugas y planes maestros para localidades con más de 2,500 habitantes; fomento de la autosuficiencia financiera; fortalecimiento técnico-operativo; macro y </w:t>
      </w:r>
      <w:proofErr w:type="spellStart"/>
      <w:r>
        <w:t>micromedición</w:t>
      </w:r>
      <w:proofErr w:type="spellEnd"/>
      <w:r>
        <w:t xml:space="preserve">; y promoción de patrones de ahorro de agua. </w:t>
      </w:r>
    </w:p>
    <w:p w:rsidR="00EA1B6F" w:rsidRDefault="00EA1B6F" w:rsidP="00A94E07">
      <w:pPr>
        <w:ind w:left="708" w:firstLine="0"/>
      </w:pPr>
    </w:p>
    <w:p w:rsidR="00EA1B6F" w:rsidRDefault="00EA1B6F" w:rsidP="00A94E07">
      <w:pPr>
        <w:ind w:left="708" w:firstLine="0"/>
      </w:pPr>
    </w:p>
    <w:p w:rsidR="00A94E07" w:rsidRDefault="00A94E07" w:rsidP="00A94E07">
      <w:r>
        <w:lastRenderedPageBreak/>
        <w:t>m)</w:t>
      </w:r>
      <w:r>
        <w:tab/>
        <w:t xml:space="preserve">Capacitación y Asistencia Técnica. </w:t>
      </w:r>
    </w:p>
    <w:p w:rsidR="00A94E07" w:rsidRDefault="00A94E07" w:rsidP="00A94E07">
      <w:pPr>
        <w:ind w:left="708" w:firstLine="0"/>
      </w:pPr>
      <w:r>
        <w:t xml:space="preserve">Una acción básica indispensable en la implementación de este Plan de Manejo lo representa la capacitación continua del la Gerencia Operativa del COTAS, ya que ésta representa el órgano operativo encargado de ejecutar el presente Plan de Manejo, amén de las otras funciones que debe desempeñar según las Reglas de Organización y Funcionamiento de los Consejos de Cuenca. </w:t>
      </w:r>
    </w:p>
    <w:p w:rsidR="00A94E07" w:rsidRDefault="00A94E07" w:rsidP="00A94E07">
      <w:pPr>
        <w:ind w:left="708" w:firstLine="0"/>
      </w:pPr>
      <w:r>
        <w:t xml:space="preserve">En el presente Capitulo se describe el plan de capacitación tanto a la Gerencia Técnica como al COTAS en general, entendiendo que la información oportuna, perfectamente analizada potenciara las estrategias de solución aquí diseñadas. </w:t>
      </w:r>
    </w:p>
    <w:p w:rsidR="00A94E07" w:rsidRPr="0089569B" w:rsidRDefault="00A94E07" w:rsidP="0089569B">
      <w:pPr>
        <w:outlineLvl w:val="0"/>
        <w:rPr>
          <w:b/>
          <w:smallCaps/>
          <w:sz w:val="24"/>
          <w:szCs w:val="24"/>
        </w:rPr>
      </w:pPr>
      <w:r w:rsidRPr="0089569B">
        <w:rPr>
          <w:b/>
          <w:smallCaps/>
          <w:sz w:val="24"/>
          <w:szCs w:val="24"/>
        </w:rPr>
        <w:t>Acciones de Apoyo</w:t>
      </w:r>
    </w:p>
    <w:p w:rsidR="00A94E07" w:rsidRDefault="00A94E07" w:rsidP="00A94E07">
      <w:r>
        <w:t xml:space="preserve">Las Acciones de apoyo representan medidas complementarias a las anteriores con la finalidad de cumplir con temas que se consideran importantes para mejorar el nivel de participación de todos los sectores involucrados, incluyendo a la sociedad en general. </w:t>
      </w:r>
    </w:p>
    <w:p w:rsidR="00A94E07" w:rsidRDefault="00A94E07" w:rsidP="00D271DE">
      <w:pPr>
        <w:numPr>
          <w:ilvl w:val="0"/>
          <w:numId w:val="105"/>
        </w:numPr>
      </w:pPr>
      <w:r>
        <w:t>Reorientación de subsidios</w:t>
      </w:r>
    </w:p>
    <w:p w:rsidR="00A94E07" w:rsidRDefault="00A94E07" w:rsidP="00A94E07">
      <w:pPr>
        <w:ind w:left="644" w:firstLine="0"/>
      </w:pPr>
      <w:r>
        <w:t xml:space="preserve">Si bien, los actuales subsidios a diferentes sectores pudiesen representar ciertas ventajas y beneficios económicos, éstos no necesariamente se transforman en beneficios que incidan en el aprovechamiento adecuado de aguas subterráneas en la región. Por ello, se requiere incentivar la reorientación adecuada de éstos con la finalidad de establecer acciones a favor del acuífero, y con ello, asegurar volúmenes de agua para el desarrollo de diversas actividades sociales y productivas, </w:t>
      </w:r>
    </w:p>
    <w:p w:rsidR="00A94E07" w:rsidRDefault="00A94E07" w:rsidP="00D271DE">
      <w:pPr>
        <w:numPr>
          <w:ilvl w:val="0"/>
          <w:numId w:val="105"/>
        </w:numPr>
      </w:pPr>
      <w:r>
        <w:t>Revisión y actualización del Plan de Manejo</w:t>
      </w:r>
    </w:p>
    <w:p w:rsidR="00A94E07" w:rsidRDefault="00A94E07" w:rsidP="00A94E07">
      <w:pPr>
        <w:ind w:left="644" w:firstLine="0"/>
      </w:pPr>
      <w:r>
        <w:t xml:space="preserve">Se reconoce que la realidad cambiante es una variante que debe incidir en perfeccionar tanto los objetivos como estrategias particulares para generar mejores resultados. Así pues, el presente Plan de Manejo deberá revisarse y adecuarse periódicamente para asegurar su viabilidad  técnica, económica y social. </w:t>
      </w:r>
    </w:p>
    <w:p w:rsidR="00A94E07" w:rsidRPr="00401E36" w:rsidRDefault="00401E36" w:rsidP="008011C2">
      <w:pPr>
        <w:outlineLvl w:val="0"/>
        <w:rPr>
          <w:b/>
        </w:rPr>
      </w:pPr>
      <w:r w:rsidRPr="00401E36">
        <w:rPr>
          <w:b/>
        </w:rPr>
        <w:t>Matriz de Planeación</w:t>
      </w:r>
    </w:p>
    <w:p w:rsidR="0077755F" w:rsidRDefault="0077755F" w:rsidP="0077755F">
      <w:r>
        <w:t xml:space="preserve">En el presente Plan de Manejo, se ha tenido en cuenta la observancia de cuatro ejes considerados como fundamentales para el éxito del proceso de planeación hídrica: proyectos y estudios técnicamente factibles, económicamente viables, socialmente aceptados y ambientalmente compatibles. </w:t>
      </w:r>
    </w:p>
    <w:p w:rsidR="0077755F" w:rsidRDefault="0077755F" w:rsidP="0077755F">
      <w:r>
        <w:t xml:space="preserve">El Plan de Manejo se sustenta en el hecho de que las autoridades e instituciones vinculadas con el recurso hídrico, se destacan por una amplia experiencia técnica en prácticamente todos los rubros específicos que se abordan en este documento. Económicamente, se describe la necesidad de una gestión profunda y continua para el financiamiento de aquellos estudios y proyectos netamente responsabilidad del COTAS. Socialmente, </w:t>
      </w:r>
      <w:r w:rsidR="00FE3967">
        <w:t xml:space="preserve">se da por hecho una </w:t>
      </w:r>
      <w:r>
        <w:t>participación continua, coordinada y responsable</w:t>
      </w:r>
      <w:r w:rsidR="00FE3967">
        <w:t xml:space="preserve"> de este sector</w:t>
      </w:r>
      <w:r>
        <w:t xml:space="preserve">. Ambientalmente, el reto que se tiene es el de sacar a </w:t>
      </w:r>
      <w:r>
        <w:lastRenderedPageBreak/>
        <w:t xml:space="preserve">este sector de la subestimación social e institucional, </w:t>
      </w:r>
      <w:r w:rsidR="00642245">
        <w:t xml:space="preserve"> y ubicarlo </w:t>
      </w:r>
      <w:r>
        <w:t xml:space="preserve"> jerárquicamente en un nivel </w:t>
      </w:r>
      <w:r w:rsidR="00642245">
        <w:t>correcto de importancia.</w:t>
      </w:r>
    </w:p>
    <w:p w:rsidR="00401E36" w:rsidRDefault="00401E36" w:rsidP="00401E36">
      <w:r>
        <w:t>A partir del diagnostico respectivo, se evaluaron diversas estrategias tendientes a resolver en el inmediato, corto, mediano y largo plazo, las problemáticas más sobresalientes en torno al manejo del agua subterránea en la zona del acuífero Huamantla-Libres Oriental-Perote.  Esta actividad se ve reflejada en la Matriz de Planeación que se anexa a este documento, y en la cual se detalla el conjunto de actividades necesarias para cumplir el Objetivo General.</w:t>
      </w:r>
    </w:p>
    <w:p w:rsidR="00401E36" w:rsidRDefault="00401E36" w:rsidP="00401E36">
      <w:r>
        <w:t>La Matriz de Planeación se encuentra organizada mediante una estructura jerárquica que se describe a continuación:</w:t>
      </w:r>
    </w:p>
    <w:p w:rsidR="00401E36" w:rsidRDefault="00401E36" w:rsidP="00401E36">
      <w:r>
        <w:tab/>
        <w:t>1. Objetivo</w:t>
      </w:r>
      <w:r w:rsidR="00AA6E6F">
        <w:t xml:space="preserve"> Estratégico</w:t>
      </w:r>
    </w:p>
    <w:p w:rsidR="00401E36" w:rsidRDefault="00401E36" w:rsidP="00401E36">
      <w:r>
        <w:tab/>
      </w:r>
      <w:r>
        <w:tab/>
        <w:t>1. 1 Línea Estratégica</w:t>
      </w:r>
    </w:p>
    <w:p w:rsidR="00401E36" w:rsidRDefault="00401E36" w:rsidP="00401E36">
      <w:r>
        <w:tab/>
      </w:r>
      <w:r>
        <w:tab/>
      </w:r>
      <w:r>
        <w:tab/>
        <w:t>1.1.1 Línea de Acción</w:t>
      </w:r>
    </w:p>
    <w:p w:rsidR="00401E36" w:rsidRDefault="00401E36" w:rsidP="00401E36">
      <w:r>
        <w:tab/>
      </w:r>
      <w:r>
        <w:tab/>
      </w:r>
      <w:r>
        <w:tab/>
      </w:r>
      <w:r>
        <w:tab/>
        <w:t>1.1.1.1 Actividad (Proyecto o Programa)</w:t>
      </w:r>
    </w:p>
    <w:p w:rsidR="00401E36" w:rsidRDefault="00401E36" w:rsidP="00401E36">
      <w:r>
        <w:t xml:space="preserve">Cada Objetivo se vincula con los Objeticos Específicos descritos anteriormente y han sido vinculados con aquellos derivados de los procesos de planeación que se realizaron al interior del Comité Técnico de Aguas Subterráneas, pero que no fueron totalmente consensados por diversas circunstancias. </w:t>
      </w:r>
    </w:p>
    <w:p w:rsidR="00401E36" w:rsidRDefault="00401E36" w:rsidP="00401E36">
      <w:r>
        <w:t xml:space="preserve">Dado que diversas estrategias asociados a diferentes objetivos se vinculan unas con otras, se cuido de que no se duplicasen en la Matriz de Planeación, ya que traería consigo un incremento de tareas a realizar así como el aumento en el financiamiento necesario. </w:t>
      </w:r>
    </w:p>
    <w:p w:rsidR="00401E36" w:rsidRDefault="00401E36" w:rsidP="00401E36">
      <w:r>
        <w:t xml:space="preserve">Las acciones específicas se analizaron en términos técnicos, económicos y operativos, estimándose el potencial financiamiento requerido, todo ello a un horizonte de planeación al año 2040. Para efectos de mejor descripción, se detalló la inversión requerida de forma anual y sexenal. Además, se describe puntualmente los responsables de cada financiamiento, describiendo el valor puntual y porcentual de su participación. </w:t>
      </w:r>
    </w:p>
    <w:p w:rsidR="00401E36" w:rsidRDefault="00401E36" w:rsidP="00401E36">
      <w:r>
        <w:t>La Matriz de Planeación también detalla al responsable y corresponsable de ejecutar la actividad, y se desprende la importancia de conceptualizar la ejecución del Plan de Manejo en el marco de la integración de diversas dependencias vinculadas directa e indirectamente en la gestión y administración del recurso hídrico.</w:t>
      </w:r>
    </w:p>
    <w:p w:rsidR="00007268" w:rsidRDefault="00401E36" w:rsidP="000574FF">
      <w:r>
        <w:t xml:space="preserve">Dado que en el universo de estrategias de solución presentadas se involucran acciones de ejecución inmediata y otras que requieren de diversas actividades preliminares, se caracterizó a cada una de ellas respecto a su prioridad, de tal forma que es posible identificar aquellas que requieren atención inmediata y aquellas que se describen como de ejecución prolongada. Como anteriormente se mencionó, la estimación financiera para cada uno de las actividades descritas se apego a la realidad económica prevaleciente en estos momentos, más sin embargo, requerirá de ajustes periódicos para proveer de mayor factibilidad técnica y económica a dicha Matriz de Planeación, y por ende, al presente Plan de Manejo. </w:t>
      </w:r>
      <w:r w:rsidR="00B3693E">
        <w:t xml:space="preserve">  </w:t>
      </w:r>
    </w:p>
    <w:p w:rsidR="00007268" w:rsidRDefault="00007268" w:rsidP="008011C2">
      <w:pPr>
        <w:pStyle w:val="Ttulo1"/>
      </w:pPr>
      <w:bookmarkStart w:id="245" w:name="_Toc283886487"/>
      <w:r>
        <w:lastRenderedPageBreak/>
        <w:t>Plan de contingencia (escasez extrema)</w:t>
      </w:r>
      <w:bookmarkEnd w:id="245"/>
    </w:p>
    <w:p w:rsidR="00033434" w:rsidRDefault="001D41F7" w:rsidP="00373335">
      <w:r>
        <w:t xml:space="preserve">Como parte de la estrategia óptima en el manejo de los recursos hídricos, se considera la adopción de planes de respuesta efectiva </w:t>
      </w:r>
      <w:r w:rsidR="00033434">
        <w:t xml:space="preserve">para la prevención y mitigación de </w:t>
      </w:r>
      <w:r>
        <w:t xml:space="preserve">efectos adversos </w:t>
      </w:r>
      <w:r w:rsidR="00033434">
        <w:t xml:space="preserve">por </w:t>
      </w:r>
      <w:r>
        <w:t xml:space="preserve">futuras </w:t>
      </w:r>
      <w:r w:rsidR="00F02D89">
        <w:t>Contingencias C</w:t>
      </w:r>
      <w:r>
        <w:t>limatológicas</w:t>
      </w:r>
      <w:r w:rsidR="00F02D89">
        <w:rPr>
          <w:rStyle w:val="Refdenotaalpie"/>
          <w:i/>
        </w:rPr>
        <w:footnoteReference w:id="5"/>
      </w:r>
      <w:r w:rsidR="00FC3941">
        <w:t>.</w:t>
      </w:r>
      <w:r>
        <w:t xml:space="preserve"> </w:t>
      </w:r>
      <w:r w:rsidR="00033434">
        <w:t>Aún cuando l</w:t>
      </w:r>
      <w:r>
        <w:t xml:space="preserve">a región de influencia del acuífero HLOP no necesariamente se encuentra en su totalidad dentro de las mayores regiones de incidencias climáticas </w:t>
      </w:r>
      <w:r w:rsidR="00C0237A">
        <w:t>negativas</w:t>
      </w:r>
      <w:r>
        <w:t xml:space="preserve">, </w:t>
      </w:r>
      <w:r w:rsidR="00033434">
        <w:t xml:space="preserve">es potencialmente factible de ser impactado por estos eventos sobre todo en su porción occidental (Tlaxcala), dado que ésta zona sí pertenece a la región de la República Mexicana identificada con características intrínsecas para la presencia de fenómenos de sequía. </w:t>
      </w:r>
    </w:p>
    <w:p w:rsidR="00C0237A" w:rsidRDefault="00F02D89" w:rsidP="00C0237A">
      <w:r>
        <w:t>E</w:t>
      </w:r>
      <w:r w:rsidR="00033434">
        <w:t xml:space="preserve">s necesario considerar </w:t>
      </w:r>
      <w:r>
        <w:t>que dentro de las Contingencias Climatológicas, la sequía representa el mayor factor de riesgo para el manejo óptimo de</w:t>
      </w:r>
      <w:r w:rsidR="001A0E0C">
        <w:t>l</w:t>
      </w:r>
      <w:r>
        <w:t xml:space="preserve"> agua subterr</w:t>
      </w:r>
      <w:r w:rsidR="00FB2F43">
        <w:t xml:space="preserve">ánea, por ello, </w:t>
      </w:r>
      <w:r w:rsidR="00C0237A">
        <w:t>es importante mencionar que los conceptos de sequía, estiaje y aridez difieren notablemente. La sequia es un fenómeno atípico en el transcurso de la historia climatológica de</w:t>
      </w:r>
      <w:r w:rsidR="00FB2F43">
        <w:t>ntro</w:t>
      </w:r>
      <w:r w:rsidR="00C0237A">
        <w:t xml:space="preserve"> una zona determinada, caracterizado por la escases </w:t>
      </w:r>
      <w:r w:rsidR="00FB2F43">
        <w:t xml:space="preserve">o ausencia de lluvias </w:t>
      </w:r>
      <w:r w:rsidR="00C0237A">
        <w:t>e incremento de la insolación</w:t>
      </w:r>
      <w:r w:rsidR="00FB2F43">
        <w:t>,</w:t>
      </w:r>
      <w:r w:rsidR="00C0237A">
        <w:t xml:space="preserve"> l</w:t>
      </w:r>
      <w:r w:rsidR="00FB2F43">
        <w:t>o</w:t>
      </w:r>
      <w:r w:rsidR="00C0237A">
        <w:t xml:space="preserve"> cual  repercute en el aumento de </w:t>
      </w:r>
      <w:proofErr w:type="spellStart"/>
      <w:r w:rsidR="00C0237A">
        <w:t>evotranspiración</w:t>
      </w:r>
      <w:proofErr w:type="spellEnd"/>
      <w:r w:rsidR="00C0237A">
        <w:t xml:space="preserve"> y evaporación hídrica; el estiaje se define como la escases natural de agua por causas de estacionalidad climática, es decir, la estacionalidad de lluvias marca la “época húmeda y seca del año”; finalmente, la aridez es una condición normal de zonas con condiciones de baja precipitación pluvial a lo largo de periodos de tiempo sumamente largos.   </w:t>
      </w:r>
    </w:p>
    <w:p w:rsidR="00C0237A" w:rsidRDefault="00FB2F43" w:rsidP="00C0237A">
      <w:r>
        <w:t>T</w:t>
      </w:r>
      <w:r w:rsidR="00C0237A">
        <w:t xml:space="preserve">anto la sequía, estiaje y aridez, se acentúen por factores </w:t>
      </w:r>
      <w:proofErr w:type="spellStart"/>
      <w:r w:rsidR="00C0237A">
        <w:t>antropogénicos</w:t>
      </w:r>
      <w:proofErr w:type="spellEnd"/>
      <w:r w:rsidR="00C0237A">
        <w:t xml:space="preserve"> </w:t>
      </w:r>
      <w:r>
        <w:t xml:space="preserve">que inciden directa e indirectamente en la oferta natural de agua superficial y subterránea, entre estos se identifica la alta demanda del recurso hídrico, </w:t>
      </w:r>
      <w:r w:rsidR="006C32E1">
        <w:t xml:space="preserve">el </w:t>
      </w:r>
      <w:r w:rsidR="00AA6E6F">
        <w:t xml:space="preserve">aprovechamiento inadecuado </w:t>
      </w:r>
      <w:r w:rsidR="00C0237A">
        <w:t xml:space="preserve">del mismo, la construcción de infraestructura hidroagrícola, etc. </w:t>
      </w:r>
    </w:p>
    <w:p w:rsidR="00C0237A" w:rsidRDefault="00C0237A" w:rsidP="00C0237A">
      <w:r>
        <w:t>La sequía afecta principalmente zonas de temporal, ganaderas y</w:t>
      </w:r>
      <w:r w:rsidR="006C32E1">
        <w:t xml:space="preserve"> centro</w:t>
      </w:r>
      <w:r w:rsidR="001A0E0C">
        <w:t>s</w:t>
      </w:r>
      <w:r w:rsidR="006C32E1">
        <w:t xml:space="preserve"> de </w:t>
      </w:r>
      <w:r w:rsidR="00AA6E6F">
        <w:t>población</w:t>
      </w:r>
      <w:r>
        <w:t>. En el caso de la agricultura de riego, las sequías reducen el almacenamiento de las presas y afectan extensas superficies productivas, su duración multianual incrementa el volumen de extracción de agua subterránea, agravando la sobreexplotación de los acuíferos.</w:t>
      </w:r>
      <w:r w:rsidR="006C32E1">
        <w:t xml:space="preserve"> En los últimos periodos identificados de sequías en el país, la región de HLOP se incrusta</w:t>
      </w:r>
      <w:r w:rsidR="00B72EEF">
        <w:t xml:space="preserve"> ya</w:t>
      </w:r>
      <w:r w:rsidR="001A0E0C">
        <w:t xml:space="preserve"> en zonas catalogadas como d</w:t>
      </w:r>
      <w:r w:rsidR="00AA6E6F">
        <w:t>e S</w:t>
      </w:r>
      <w:r w:rsidR="006C32E1">
        <w:t xml:space="preserve">everidad </w:t>
      </w:r>
      <w:r w:rsidR="001A0E0C">
        <w:t>a</w:t>
      </w:r>
      <w:r w:rsidR="006C32E1">
        <w:t>lta (</w:t>
      </w:r>
      <w:r w:rsidR="00BE2961">
        <w:fldChar w:fldCharType="begin"/>
      </w:r>
      <w:r w:rsidR="006C32E1">
        <w:instrText xml:space="preserve"> REF _Ref250976507 \r \h </w:instrText>
      </w:r>
      <w:r w:rsidR="00BE2961">
        <w:fldChar w:fldCharType="separate"/>
      </w:r>
      <w:r w:rsidR="001C36B4">
        <w:t>Figura 11.1</w:t>
      </w:r>
      <w:r w:rsidR="00BE2961">
        <w:fldChar w:fldCharType="end"/>
      </w:r>
      <w:r w:rsidR="006C32E1">
        <w:t>).</w:t>
      </w:r>
    </w:p>
    <w:p w:rsidR="006C32E1" w:rsidRDefault="006C32E1" w:rsidP="00C0237A"/>
    <w:p w:rsidR="00C0237A" w:rsidRPr="00B37020" w:rsidRDefault="000C5614" w:rsidP="00B37020">
      <w:pPr>
        <w:pStyle w:val="Figura1cap11"/>
        <w:rPr>
          <w:lang w:val="es-MX"/>
        </w:rPr>
      </w:pPr>
      <w:bookmarkStart w:id="246" w:name="_Ref250976507"/>
      <w:r w:rsidRPr="00B37020">
        <w:rPr>
          <w:lang w:val="es-MX"/>
        </w:rPr>
        <w:lastRenderedPageBreak/>
        <w:t>Estados de la República Mexicana afectados por sequias en diferentes periodos de tiempo</w:t>
      </w:r>
      <w:bookmarkEnd w:id="246"/>
    </w:p>
    <w:p w:rsidR="00DE2C49" w:rsidRDefault="008011C2" w:rsidP="00DE2C49">
      <w:pPr>
        <w:spacing w:line="240" w:lineRule="auto"/>
        <w:ind w:firstLine="0"/>
        <w:jc w:val="center"/>
      </w:pPr>
      <w:r>
        <w:rPr>
          <w:noProof/>
          <w:lang w:eastAsia="es-MX"/>
        </w:rPr>
        <w:drawing>
          <wp:inline distT="0" distB="0" distL="0" distR="0">
            <wp:extent cx="5238750" cy="2419350"/>
            <wp:effectExtent l="19050" t="0" r="0" b="0"/>
            <wp:docPr id="73"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01" cstate="print"/>
                    <a:srcRect r="10791"/>
                    <a:stretch>
                      <a:fillRect/>
                    </a:stretch>
                  </pic:blipFill>
                  <pic:spPr bwMode="auto">
                    <a:xfrm>
                      <a:off x="0" y="0"/>
                      <a:ext cx="5238750" cy="2419350"/>
                    </a:xfrm>
                    <a:prstGeom prst="rect">
                      <a:avLst/>
                    </a:prstGeom>
                    <a:noFill/>
                    <a:ln w="9525">
                      <a:noFill/>
                      <a:miter lim="800000"/>
                      <a:headEnd/>
                      <a:tailEnd/>
                    </a:ln>
                  </pic:spPr>
                </pic:pic>
              </a:graphicData>
            </a:graphic>
          </wp:inline>
        </w:drawing>
      </w:r>
    </w:p>
    <w:p w:rsidR="00C0237A" w:rsidRDefault="00B37020" w:rsidP="00373335">
      <w:pPr>
        <w:rPr>
          <w:sz w:val="18"/>
          <w:szCs w:val="18"/>
        </w:rPr>
      </w:pPr>
      <w:r w:rsidRPr="00B37020">
        <w:rPr>
          <w:sz w:val="18"/>
          <w:szCs w:val="18"/>
        </w:rPr>
        <w:t>Fuente: SEGOB, Sistema Nacional de Protección Civil. CENAPRED. 2001. Diagnostico de Peligros e Identificación de Riesgos de Desastres en México. Atlas Nacional de Riesgos de la República Mexicana. México</w:t>
      </w:r>
    </w:p>
    <w:p w:rsidR="003877FC" w:rsidRPr="003877FC" w:rsidRDefault="003877FC" w:rsidP="003877FC">
      <w:pPr>
        <w:pStyle w:val="Figura1cap11"/>
        <w:rPr>
          <w:lang w:val="es-MX"/>
        </w:rPr>
      </w:pPr>
      <w:bookmarkStart w:id="247" w:name="_Ref252959618"/>
      <w:r w:rsidRPr="003877FC">
        <w:rPr>
          <w:lang w:val="es-MX"/>
        </w:rPr>
        <w:t>Índice de severidad de sequía meteorológica. Escenario actual</w:t>
      </w:r>
      <w:bookmarkEnd w:id="247"/>
      <w:r w:rsidR="00937E17">
        <w:rPr>
          <w:lang w:val="es-MX"/>
        </w:rPr>
        <w:t xml:space="preserve"> (izq.) Modelo CCC (der.) y Modelo </w:t>
      </w:r>
      <w:r w:rsidR="00937E17" w:rsidRPr="003877FC">
        <w:rPr>
          <w:lang w:val="es-MX"/>
        </w:rPr>
        <w:t>GFDL-R30</w:t>
      </w:r>
      <w:r w:rsidR="00937E17">
        <w:rPr>
          <w:lang w:val="es-MX"/>
        </w:rPr>
        <w:t xml:space="preserve"> (abajo)</w:t>
      </w:r>
    </w:p>
    <w:p w:rsidR="00496892" w:rsidRDefault="008011C2" w:rsidP="00937E17">
      <w:pPr>
        <w:ind w:firstLine="0"/>
        <w:jc w:val="center"/>
      </w:pPr>
      <w:r>
        <w:rPr>
          <w:noProof/>
          <w:lang w:eastAsia="es-MX"/>
        </w:rPr>
        <w:drawing>
          <wp:inline distT="0" distB="0" distL="0" distR="0">
            <wp:extent cx="2533650" cy="1733550"/>
            <wp:effectExtent l="1905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2533650" cy="1733550"/>
                    </a:xfrm>
                    <a:prstGeom prst="rect">
                      <a:avLst/>
                    </a:prstGeom>
                    <a:noFill/>
                    <a:ln w="9525">
                      <a:noFill/>
                      <a:miter lim="800000"/>
                      <a:headEnd/>
                      <a:tailEnd/>
                    </a:ln>
                  </pic:spPr>
                </pic:pic>
              </a:graphicData>
            </a:graphic>
          </wp:inline>
        </w:drawing>
      </w:r>
      <w:r>
        <w:rPr>
          <w:noProof/>
          <w:lang w:eastAsia="es-MX"/>
        </w:rPr>
        <w:drawing>
          <wp:inline distT="0" distB="0" distL="0" distR="0">
            <wp:extent cx="2457450" cy="1724025"/>
            <wp:effectExtent l="1905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3" cstate="print"/>
                    <a:srcRect/>
                    <a:stretch>
                      <a:fillRect/>
                    </a:stretch>
                  </pic:blipFill>
                  <pic:spPr bwMode="auto">
                    <a:xfrm>
                      <a:off x="0" y="0"/>
                      <a:ext cx="2457450" cy="1724025"/>
                    </a:xfrm>
                    <a:prstGeom prst="rect">
                      <a:avLst/>
                    </a:prstGeom>
                    <a:noFill/>
                    <a:ln w="9525">
                      <a:noFill/>
                      <a:miter lim="800000"/>
                      <a:headEnd/>
                      <a:tailEnd/>
                    </a:ln>
                  </pic:spPr>
                </pic:pic>
              </a:graphicData>
            </a:graphic>
          </wp:inline>
        </w:drawing>
      </w:r>
    </w:p>
    <w:p w:rsidR="00937E17" w:rsidRDefault="008011C2" w:rsidP="00937E17">
      <w:pPr>
        <w:ind w:firstLine="0"/>
        <w:jc w:val="center"/>
      </w:pPr>
      <w:r>
        <w:rPr>
          <w:noProof/>
          <w:lang w:eastAsia="es-MX"/>
        </w:rPr>
        <w:drawing>
          <wp:inline distT="0" distB="0" distL="0" distR="0">
            <wp:extent cx="2428875" cy="1695450"/>
            <wp:effectExtent l="19050" t="0" r="952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cstate="print"/>
                    <a:srcRect/>
                    <a:stretch>
                      <a:fillRect/>
                    </a:stretch>
                  </pic:blipFill>
                  <pic:spPr bwMode="auto">
                    <a:xfrm>
                      <a:off x="0" y="0"/>
                      <a:ext cx="2428875" cy="1695450"/>
                    </a:xfrm>
                    <a:prstGeom prst="rect">
                      <a:avLst/>
                    </a:prstGeom>
                    <a:noFill/>
                    <a:ln w="9525">
                      <a:noFill/>
                      <a:miter lim="800000"/>
                      <a:headEnd/>
                      <a:tailEnd/>
                    </a:ln>
                  </pic:spPr>
                </pic:pic>
              </a:graphicData>
            </a:graphic>
          </wp:inline>
        </w:drawing>
      </w:r>
    </w:p>
    <w:p w:rsidR="00496892" w:rsidRPr="00496892" w:rsidRDefault="00496892" w:rsidP="00496892">
      <w:pPr>
        <w:rPr>
          <w:sz w:val="18"/>
          <w:szCs w:val="18"/>
        </w:rPr>
      </w:pPr>
      <w:r w:rsidRPr="00496892">
        <w:rPr>
          <w:sz w:val="18"/>
          <w:szCs w:val="18"/>
        </w:rPr>
        <w:t xml:space="preserve">Fuente: Hernández C, M. A; </w:t>
      </w:r>
      <w:r w:rsidRPr="00496892">
        <w:rPr>
          <w:i/>
          <w:sz w:val="18"/>
          <w:szCs w:val="18"/>
        </w:rPr>
        <w:t>et al</w:t>
      </w:r>
      <w:r w:rsidRPr="00496892">
        <w:rPr>
          <w:sz w:val="18"/>
          <w:szCs w:val="18"/>
        </w:rPr>
        <w:t xml:space="preserve">. En. Gay G.; C. 2000. México: una visión hacia </w:t>
      </w:r>
      <w:r w:rsidR="0067528A">
        <w:rPr>
          <w:sz w:val="18"/>
          <w:szCs w:val="18"/>
        </w:rPr>
        <w:t>e</w:t>
      </w:r>
      <w:r w:rsidRPr="00496892">
        <w:rPr>
          <w:sz w:val="18"/>
          <w:szCs w:val="18"/>
        </w:rPr>
        <w:t>l siglo XXI. E</w:t>
      </w:r>
      <w:r w:rsidR="0067528A">
        <w:rPr>
          <w:sz w:val="18"/>
          <w:szCs w:val="18"/>
        </w:rPr>
        <w:t>l</w:t>
      </w:r>
      <w:r w:rsidRPr="00496892">
        <w:rPr>
          <w:sz w:val="18"/>
          <w:szCs w:val="18"/>
        </w:rPr>
        <w:t xml:space="preserve"> </w:t>
      </w:r>
      <w:r w:rsidR="0067528A">
        <w:rPr>
          <w:sz w:val="18"/>
          <w:szCs w:val="18"/>
        </w:rPr>
        <w:t>c</w:t>
      </w:r>
      <w:r w:rsidRPr="00496892">
        <w:rPr>
          <w:sz w:val="18"/>
          <w:szCs w:val="18"/>
        </w:rPr>
        <w:t xml:space="preserve">ambio climático en México. INE. UNAM. US </w:t>
      </w:r>
      <w:proofErr w:type="spellStart"/>
      <w:r w:rsidRPr="00496892">
        <w:rPr>
          <w:sz w:val="18"/>
          <w:szCs w:val="18"/>
        </w:rPr>
        <w:t>Contry</w:t>
      </w:r>
      <w:proofErr w:type="spellEnd"/>
      <w:r w:rsidRPr="00496892">
        <w:rPr>
          <w:sz w:val="18"/>
          <w:szCs w:val="18"/>
        </w:rPr>
        <w:t xml:space="preserve"> </w:t>
      </w:r>
      <w:proofErr w:type="spellStart"/>
      <w:r w:rsidRPr="00496892">
        <w:rPr>
          <w:sz w:val="18"/>
          <w:szCs w:val="18"/>
        </w:rPr>
        <w:t>Studies</w:t>
      </w:r>
      <w:proofErr w:type="spellEnd"/>
      <w:r w:rsidRPr="00496892">
        <w:rPr>
          <w:sz w:val="18"/>
          <w:szCs w:val="18"/>
        </w:rPr>
        <w:t xml:space="preserve"> </w:t>
      </w:r>
      <w:proofErr w:type="spellStart"/>
      <w:r w:rsidRPr="00496892">
        <w:rPr>
          <w:sz w:val="18"/>
          <w:szCs w:val="18"/>
        </w:rPr>
        <w:t>Program</w:t>
      </w:r>
      <w:proofErr w:type="spellEnd"/>
      <w:r w:rsidRPr="00496892">
        <w:rPr>
          <w:sz w:val="18"/>
          <w:szCs w:val="18"/>
        </w:rPr>
        <w:t>. México.</w:t>
      </w:r>
    </w:p>
    <w:p w:rsidR="006C32E1" w:rsidRDefault="006C32E1" w:rsidP="006C32E1">
      <w:r>
        <w:lastRenderedPageBreak/>
        <w:t xml:space="preserve">Según el CENAPRED, de 2000-2008 se han presentado 39 Declaratorias de </w:t>
      </w:r>
      <w:r w:rsidR="0047547F">
        <w:t>Desa</w:t>
      </w:r>
      <w:r>
        <w:t xml:space="preserve">stre y Contingencia Climatológica relacionadas con sequías publicadas en el DOF. Los municipios más afectados son: </w:t>
      </w:r>
      <w:proofErr w:type="spellStart"/>
      <w:r>
        <w:t>Acajete</w:t>
      </w:r>
      <w:proofErr w:type="spellEnd"/>
      <w:r>
        <w:t xml:space="preserve">, </w:t>
      </w:r>
      <w:proofErr w:type="spellStart"/>
      <w:r>
        <w:t>Lafragua</w:t>
      </w:r>
      <w:proofErr w:type="spellEnd"/>
      <w:r>
        <w:t xml:space="preserve">, </w:t>
      </w:r>
      <w:proofErr w:type="spellStart"/>
      <w:r>
        <w:t>Nopaltepec</w:t>
      </w:r>
      <w:proofErr w:type="spellEnd"/>
      <w:r>
        <w:t xml:space="preserve">, Rafael Lara Grajales y San José </w:t>
      </w:r>
      <w:proofErr w:type="spellStart"/>
      <w:r>
        <w:t>Chiapa</w:t>
      </w:r>
      <w:proofErr w:type="spellEnd"/>
      <w:r>
        <w:t xml:space="preserve">. </w:t>
      </w:r>
    </w:p>
    <w:p w:rsidR="006C32E1" w:rsidRDefault="006C32E1" w:rsidP="006C32E1">
      <w:r>
        <w:t xml:space="preserve">Hernández, C. </w:t>
      </w:r>
      <w:r w:rsidRPr="0048341B">
        <w:rPr>
          <w:i/>
        </w:rPr>
        <w:t>et al</w:t>
      </w:r>
      <w:r>
        <w:t xml:space="preserve">. </w:t>
      </w:r>
      <w:r w:rsidR="00680423">
        <w:t xml:space="preserve">indica que </w:t>
      </w:r>
      <w:r>
        <w:t>la región de influencia del acuífero HLOP presenta en su porción centro-sur un índice de severidad catalogado como Fuerte, mientras que su porción norte un índice Muy fuerte; sin embargo, empleando los modelos climáticos de circulación general GFDL-R30 (</w:t>
      </w:r>
      <w:proofErr w:type="spellStart"/>
      <w:r>
        <w:t>Geophysical</w:t>
      </w:r>
      <w:proofErr w:type="spellEnd"/>
      <w:r>
        <w:t xml:space="preserve"> Fluid </w:t>
      </w:r>
      <w:proofErr w:type="spellStart"/>
      <w:r>
        <w:t>Dynmics</w:t>
      </w:r>
      <w:proofErr w:type="spellEnd"/>
      <w:r>
        <w:t xml:space="preserve"> </w:t>
      </w:r>
      <w:proofErr w:type="spellStart"/>
      <w:r>
        <w:t>laboratory</w:t>
      </w:r>
      <w:proofErr w:type="spellEnd"/>
      <w:r>
        <w:t xml:space="preserve">) y CCC (Canadian </w:t>
      </w:r>
      <w:proofErr w:type="spellStart"/>
      <w:r>
        <w:t>Climate</w:t>
      </w:r>
      <w:proofErr w:type="spellEnd"/>
      <w:r>
        <w:t xml:space="preserve"> Center) para simular los cambios futuros en el equilibrio climático resultante del un supuesto incremento de dos veces la concentraciones de CO</w:t>
      </w:r>
      <w:r>
        <w:rPr>
          <w:vertAlign w:val="subscript"/>
        </w:rPr>
        <w:t>2</w:t>
      </w:r>
      <w:r>
        <w:t xml:space="preserve"> se obtiene que para el modelo CCC la totalidad de la zona del acuífero HLOP incrementa su índice de severidad de sequía, pasando a una categoría de Muy fuerte,  mientras que para el modelo GFDL-R30 prácticamente no hay cambios (</w:t>
      </w:r>
      <w:r w:rsidR="00BE2961">
        <w:fldChar w:fldCharType="begin"/>
      </w:r>
      <w:r>
        <w:instrText xml:space="preserve"> REF _Ref252959618 \r \h </w:instrText>
      </w:r>
      <w:r w:rsidR="00BE2961">
        <w:fldChar w:fldCharType="separate"/>
      </w:r>
      <w:r w:rsidR="001C36B4">
        <w:t>Figura 11.2</w:t>
      </w:r>
      <w:r w:rsidR="00BE2961">
        <w:fldChar w:fldCharType="end"/>
      </w:r>
      <w:r>
        <w:t xml:space="preserve">). </w:t>
      </w:r>
    </w:p>
    <w:p w:rsidR="00A11AA0" w:rsidRDefault="00A11AA0" w:rsidP="000574FF">
      <w:r>
        <w:t>Recientemente, se ha realizado se ha realizado un estudio de tendencias climáticas históricas en la Región Hidrológico-Administrativa Balsas</w:t>
      </w:r>
      <w:r w:rsidR="00EF467C">
        <w:t xml:space="preserve"> (</w:t>
      </w:r>
      <w:proofErr w:type="spellStart"/>
      <w:r w:rsidR="00EF467C">
        <w:t>Rosengaus</w:t>
      </w:r>
      <w:proofErr w:type="spellEnd"/>
      <w:r w:rsidR="00EF467C">
        <w:t>, M. 2009; información no publicada)</w:t>
      </w:r>
      <w:r>
        <w:t xml:space="preserve">, Organismo de Cuenca que incluye en su porción noreste al acuífero </w:t>
      </w:r>
      <w:r w:rsidR="00680423">
        <w:t>HLOP</w:t>
      </w:r>
      <w:r>
        <w:t>.</w:t>
      </w:r>
      <w:r w:rsidR="00680423">
        <w:t xml:space="preserve"> </w:t>
      </w:r>
      <w:r>
        <w:t xml:space="preserve">  </w:t>
      </w:r>
    </w:p>
    <w:p w:rsidR="00680423" w:rsidRDefault="00A11AA0" w:rsidP="00680423">
      <w:r>
        <w:t>Los resultados arrojan que en cuanto a las tendencias observadas entre 1961-2000, la temperatura máxima diaria (</w:t>
      </w:r>
      <w:proofErr w:type="spellStart"/>
      <w:r>
        <w:t>T</w:t>
      </w:r>
      <w:r>
        <w:rPr>
          <w:vertAlign w:val="subscript"/>
        </w:rPr>
        <w:t>max</w:t>
      </w:r>
      <w:proofErr w:type="spellEnd"/>
      <w:r>
        <w:t xml:space="preserve">) como promedio de largo plazo, resulta bastante alta (29.6°C), y se ha mantenido prácticamente constante con una tasa de cambio de 0.04%°C por siglo, tasa menor a la calculada al país y la cual es de 1.7%°C por siglo. </w:t>
      </w:r>
      <w:r w:rsidR="00680423">
        <w:t>En contraste, la temperatura mínima diaria (</w:t>
      </w:r>
      <w:proofErr w:type="spellStart"/>
      <w:r w:rsidR="00680423">
        <w:t>T</w:t>
      </w:r>
      <w:r w:rsidR="00680423">
        <w:rPr>
          <w:vertAlign w:val="subscript"/>
        </w:rPr>
        <w:t>min</w:t>
      </w:r>
      <w:proofErr w:type="spellEnd"/>
      <w:r w:rsidR="00680423">
        <w:t xml:space="preserve">) presenta un valor promedio de 14.5°C en el periodo 1961-2000, mostrando una tendencia descendente totalmente marcada a razón de -2.19°C por siglo, pero contraria a la tasa promedio nacional de </w:t>
      </w:r>
      <w:proofErr w:type="spellStart"/>
      <w:r w:rsidR="00680423">
        <w:t>T</w:t>
      </w:r>
      <w:r w:rsidR="00680423">
        <w:rPr>
          <w:vertAlign w:val="subscript"/>
        </w:rPr>
        <w:t>min</w:t>
      </w:r>
      <w:proofErr w:type="spellEnd"/>
      <w:r w:rsidR="00680423">
        <w:t xml:space="preserve"> que es de 0.08%°C por siglo. Por su parte, la precipitación diaria equivale a 2.5 mm/día, (912 mm/año), pero muestra una tasa descendente significativa de -119.9 mm/año en un siglo, es decir, 13% menos en cien años, que aunque en concordancia con la tendencia nacional, su proporción es mayor, ya que la tasa promedio nacional es de -9.5% por siglo. Según </w:t>
      </w:r>
      <w:proofErr w:type="spellStart"/>
      <w:r w:rsidR="00680423">
        <w:t>Rosengaus</w:t>
      </w:r>
      <w:proofErr w:type="spellEnd"/>
      <w:r w:rsidR="00680423">
        <w:t>, la tasa de pérdida de lluvia podría estar compensada al disminuir la evapotranspiración</w:t>
      </w:r>
      <w:r w:rsidR="00E10BED">
        <w:t xml:space="preserve"> (</w:t>
      </w:r>
      <w:r w:rsidR="00BE2961">
        <w:fldChar w:fldCharType="begin"/>
      </w:r>
      <w:r w:rsidR="00E10BED">
        <w:instrText xml:space="preserve"> REF _Ref252959682 \r \h </w:instrText>
      </w:r>
      <w:r w:rsidR="00BE2961">
        <w:fldChar w:fldCharType="separate"/>
      </w:r>
      <w:r w:rsidR="001C36B4">
        <w:t>Figura 11.3</w:t>
      </w:r>
      <w:r w:rsidR="00BE2961">
        <w:fldChar w:fldCharType="end"/>
      </w:r>
      <w:r w:rsidR="00E10BED">
        <w:t>)</w:t>
      </w:r>
      <w:r w:rsidR="00680423">
        <w:t>.</w:t>
      </w:r>
    </w:p>
    <w:p w:rsidR="003877FC" w:rsidRPr="003877FC" w:rsidRDefault="003877FC" w:rsidP="003877FC">
      <w:pPr>
        <w:pStyle w:val="Figura1cap11"/>
        <w:rPr>
          <w:lang w:val="es-MX"/>
        </w:rPr>
      </w:pPr>
      <w:bookmarkStart w:id="248" w:name="_Ref252959682"/>
      <w:r w:rsidRPr="003877FC">
        <w:rPr>
          <w:lang w:val="es-MX"/>
        </w:rPr>
        <w:t>Tendencia en temperatura máxima regional</w:t>
      </w:r>
      <w:r w:rsidR="00680423">
        <w:rPr>
          <w:lang w:val="es-MX"/>
        </w:rPr>
        <w:t xml:space="preserve">, mínima regional y </w:t>
      </w:r>
      <w:r w:rsidRPr="003877FC">
        <w:rPr>
          <w:lang w:val="es-MX"/>
        </w:rPr>
        <w:t xml:space="preserve"> </w:t>
      </w:r>
      <w:r w:rsidR="00680423">
        <w:rPr>
          <w:lang w:val="es-MX"/>
        </w:rPr>
        <w:t xml:space="preserve">precipitación regional </w:t>
      </w:r>
      <w:r w:rsidRPr="003877FC">
        <w:rPr>
          <w:lang w:val="es-MX"/>
        </w:rPr>
        <w:t>para la RHA Balsas</w:t>
      </w:r>
      <w:bookmarkEnd w:id="248"/>
    </w:p>
    <w:p w:rsidR="00424854" w:rsidRDefault="008011C2" w:rsidP="00FB00D6">
      <w:pPr>
        <w:jc w:val="center"/>
      </w:pPr>
      <w:r>
        <w:rPr>
          <w:noProof/>
          <w:lang w:eastAsia="es-MX"/>
        </w:rPr>
        <w:drawing>
          <wp:inline distT="0" distB="0" distL="0" distR="0">
            <wp:extent cx="5610225" cy="1714500"/>
            <wp:effectExtent l="19050" t="0" r="9525" b="0"/>
            <wp:docPr id="77" name="Imagen 1" descr="Tendencia Tmax anual RHA-Bal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ndencia Tmax anual RHA-Balsas"/>
                    <pic:cNvPicPr>
                      <a:picLocks noChangeAspect="1" noChangeArrowheads="1"/>
                    </pic:cNvPicPr>
                  </pic:nvPicPr>
                  <pic:blipFill>
                    <a:blip r:embed="rId105" cstate="print"/>
                    <a:srcRect/>
                    <a:stretch>
                      <a:fillRect/>
                    </a:stretch>
                  </pic:blipFill>
                  <pic:spPr bwMode="auto">
                    <a:xfrm>
                      <a:off x="0" y="0"/>
                      <a:ext cx="5610225" cy="1714500"/>
                    </a:xfrm>
                    <a:prstGeom prst="rect">
                      <a:avLst/>
                    </a:prstGeom>
                    <a:noFill/>
                    <a:ln w="9525">
                      <a:noFill/>
                      <a:miter lim="800000"/>
                      <a:headEnd/>
                      <a:tailEnd/>
                    </a:ln>
                  </pic:spPr>
                </pic:pic>
              </a:graphicData>
            </a:graphic>
          </wp:inline>
        </w:drawing>
      </w:r>
    </w:p>
    <w:p w:rsidR="00680423" w:rsidRDefault="00680423" w:rsidP="000574FF"/>
    <w:p w:rsidR="00424854" w:rsidRDefault="008011C2" w:rsidP="00FB00D6">
      <w:pPr>
        <w:jc w:val="center"/>
      </w:pPr>
      <w:r>
        <w:rPr>
          <w:noProof/>
          <w:lang w:eastAsia="es-MX"/>
        </w:rPr>
        <w:lastRenderedPageBreak/>
        <w:drawing>
          <wp:inline distT="0" distB="0" distL="0" distR="0">
            <wp:extent cx="5610225" cy="1704975"/>
            <wp:effectExtent l="19050" t="0" r="9525" b="0"/>
            <wp:docPr id="78" name="Imagen 2" descr="Tendencia Tmin anual RHA-Bal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Tendencia Tmin anual RHA-Balsas"/>
                    <pic:cNvPicPr>
                      <a:picLocks noChangeAspect="1" noChangeArrowheads="1"/>
                    </pic:cNvPicPr>
                  </pic:nvPicPr>
                  <pic:blipFill>
                    <a:blip r:embed="rId106" cstate="print"/>
                    <a:srcRect/>
                    <a:stretch>
                      <a:fillRect/>
                    </a:stretch>
                  </pic:blipFill>
                  <pic:spPr bwMode="auto">
                    <a:xfrm>
                      <a:off x="0" y="0"/>
                      <a:ext cx="5610225" cy="1704975"/>
                    </a:xfrm>
                    <a:prstGeom prst="rect">
                      <a:avLst/>
                    </a:prstGeom>
                    <a:noFill/>
                    <a:ln w="9525">
                      <a:noFill/>
                      <a:miter lim="800000"/>
                      <a:headEnd/>
                      <a:tailEnd/>
                    </a:ln>
                  </pic:spPr>
                </pic:pic>
              </a:graphicData>
            </a:graphic>
          </wp:inline>
        </w:drawing>
      </w:r>
    </w:p>
    <w:p w:rsidR="00424854" w:rsidRDefault="008011C2" w:rsidP="00FB00D6">
      <w:pPr>
        <w:jc w:val="center"/>
      </w:pPr>
      <w:r>
        <w:rPr>
          <w:noProof/>
          <w:lang w:eastAsia="es-MX"/>
        </w:rPr>
        <w:drawing>
          <wp:inline distT="0" distB="0" distL="0" distR="0">
            <wp:extent cx="5610225" cy="1714500"/>
            <wp:effectExtent l="19050" t="0" r="9525" b="0"/>
            <wp:docPr id="79" name="Imagen 3" descr="Tendencia Precip anual RHA-Bal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Tendencia Precip anual RHA-Balsas"/>
                    <pic:cNvPicPr>
                      <a:picLocks noChangeAspect="1" noChangeArrowheads="1"/>
                    </pic:cNvPicPr>
                  </pic:nvPicPr>
                  <pic:blipFill>
                    <a:blip r:embed="rId107" cstate="print"/>
                    <a:srcRect/>
                    <a:stretch>
                      <a:fillRect/>
                    </a:stretch>
                  </pic:blipFill>
                  <pic:spPr bwMode="auto">
                    <a:xfrm>
                      <a:off x="0" y="0"/>
                      <a:ext cx="5610225" cy="1714500"/>
                    </a:xfrm>
                    <a:prstGeom prst="rect">
                      <a:avLst/>
                    </a:prstGeom>
                    <a:noFill/>
                    <a:ln w="9525">
                      <a:noFill/>
                      <a:miter lim="800000"/>
                      <a:headEnd/>
                      <a:tailEnd/>
                    </a:ln>
                  </pic:spPr>
                </pic:pic>
              </a:graphicData>
            </a:graphic>
          </wp:inline>
        </w:drawing>
      </w:r>
    </w:p>
    <w:p w:rsidR="00C93DEE" w:rsidRPr="00C93DEE" w:rsidRDefault="00C93DEE" w:rsidP="00C93DEE">
      <w:pPr>
        <w:rPr>
          <w:sz w:val="18"/>
          <w:szCs w:val="18"/>
        </w:rPr>
      </w:pPr>
      <w:proofErr w:type="spellStart"/>
      <w:r w:rsidRPr="00C93DEE">
        <w:rPr>
          <w:sz w:val="18"/>
          <w:szCs w:val="18"/>
        </w:rPr>
        <w:t>Rosengaus</w:t>
      </w:r>
      <w:proofErr w:type="spellEnd"/>
      <w:r w:rsidRPr="00C93DEE">
        <w:rPr>
          <w:sz w:val="18"/>
          <w:szCs w:val="18"/>
        </w:rPr>
        <w:t xml:space="preserve"> M, M; 2009. Tendencias climáticas históricas en la región hidrológico-administrativa Balsas. SMN. CO</w:t>
      </w:r>
      <w:r w:rsidR="000D5FC4">
        <w:rPr>
          <w:sz w:val="18"/>
          <w:szCs w:val="18"/>
        </w:rPr>
        <w:t>N</w:t>
      </w:r>
      <w:r w:rsidRPr="00C93DEE">
        <w:rPr>
          <w:sz w:val="18"/>
          <w:szCs w:val="18"/>
        </w:rPr>
        <w:t>AGUA. México (información no publicada)</w:t>
      </w:r>
    </w:p>
    <w:p w:rsidR="00337948" w:rsidRDefault="00A11AA0" w:rsidP="000574FF">
      <w:r>
        <w:t xml:space="preserve"> </w:t>
      </w:r>
      <w:r w:rsidR="000F43D2">
        <w:t>En términos temporales, las temperaturas de los meses más calurosos del año muestran una tendencia decreciente</w:t>
      </w:r>
      <w:r w:rsidR="00337948">
        <w:t xml:space="preserve">, pero la distribución geográfica de los cambios en </w:t>
      </w:r>
      <w:proofErr w:type="spellStart"/>
      <w:r w:rsidR="00337948">
        <w:t>T</w:t>
      </w:r>
      <w:r w:rsidR="00337948" w:rsidRPr="00337948">
        <w:rPr>
          <w:vertAlign w:val="subscript"/>
        </w:rPr>
        <w:t>max</w:t>
      </w:r>
      <w:proofErr w:type="spellEnd"/>
      <w:r w:rsidR="00337948">
        <w:t xml:space="preserve"> y </w:t>
      </w:r>
      <w:proofErr w:type="spellStart"/>
      <w:r w:rsidR="00337948">
        <w:t>T</w:t>
      </w:r>
      <w:r w:rsidR="00337948" w:rsidRPr="00337948">
        <w:rPr>
          <w:vertAlign w:val="subscript"/>
        </w:rPr>
        <w:t>min</w:t>
      </w:r>
      <w:proofErr w:type="spellEnd"/>
      <w:r w:rsidR="00337948">
        <w:t xml:space="preserve"> no parece cambiar los cambiar los patrones ya presentes en el clima base; así también, el riesgo de una evapotranspiración creciente no parece ser un factor importante</w:t>
      </w:r>
      <w:r w:rsidR="00680423">
        <w:t xml:space="preserve">. </w:t>
      </w:r>
      <w:r w:rsidR="00337948">
        <w:t>Por otra parte, las temporadas de lluvia parecen estar iniciándose más abruptamente y terminando más paulatinamente. El efecto de la canícula ha estado intensificándose, aunque en conjunto con pérdida de lluvia al final de la temporada</w:t>
      </w:r>
      <w:r w:rsidR="00CF3A1E">
        <w:t xml:space="preserve"> (</w:t>
      </w:r>
      <w:r w:rsidR="00BE2961">
        <w:fldChar w:fldCharType="begin"/>
      </w:r>
      <w:r w:rsidR="00680423">
        <w:instrText xml:space="preserve"> REF _Ref252959893 \r \h </w:instrText>
      </w:r>
      <w:r w:rsidR="00BE2961">
        <w:fldChar w:fldCharType="separate"/>
      </w:r>
      <w:r w:rsidR="001C36B4">
        <w:t>Figura 11.4</w:t>
      </w:r>
      <w:r w:rsidR="00BE2961">
        <w:fldChar w:fldCharType="end"/>
      </w:r>
      <w:r w:rsidR="00680423">
        <w:t>).</w:t>
      </w:r>
    </w:p>
    <w:p w:rsidR="001620ED" w:rsidRPr="001620ED" w:rsidRDefault="001620ED" w:rsidP="001620ED">
      <w:pPr>
        <w:pStyle w:val="Figura1cap11"/>
        <w:rPr>
          <w:lang w:val="es-MX"/>
        </w:rPr>
      </w:pPr>
      <w:bookmarkStart w:id="249" w:name="_Ref252959893"/>
      <w:r w:rsidRPr="001620ED">
        <w:rPr>
          <w:lang w:val="es-MX"/>
        </w:rPr>
        <w:t>Cambio en valores mensuales de temperatura máxima</w:t>
      </w:r>
      <w:r w:rsidR="00680423">
        <w:rPr>
          <w:lang w:val="es-MX"/>
        </w:rPr>
        <w:t xml:space="preserve">, temperatura mínima y precipitación </w:t>
      </w:r>
      <w:r w:rsidRPr="001620ED">
        <w:rPr>
          <w:lang w:val="es-MX"/>
        </w:rPr>
        <w:t>en la RHA Balsas</w:t>
      </w:r>
      <w:bookmarkEnd w:id="249"/>
    </w:p>
    <w:p w:rsidR="00337948" w:rsidRDefault="008011C2" w:rsidP="00FB00D6">
      <w:pPr>
        <w:jc w:val="center"/>
      </w:pPr>
      <w:r>
        <w:rPr>
          <w:noProof/>
          <w:lang w:eastAsia="es-MX"/>
        </w:rPr>
        <w:drawing>
          <wp:inline distT="0" distB="0" distL="0" distR="0">
            <wp:extent cx="4152900" cy="1924050"/>
            <wp:effectExtent l="19050" t="0" r="0" b="0"/>
            <wp:docPr id="80" name="Imagen 4" descr="evolucion anual Tmax entre 1961 y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evolucion anual Tmax entre 1961 y 2000"/>
                    <pic:cNvPicPr>
                      <a:picLocks noChangeAspect="1" noChangeArrowheads="1"/>
                    </pic:cNvPicPr>
                  </pic:nvPicPr>
                  <pic:blipFill>
                    <a:blip r:embed="rId108" cstate="print"/>
                    <a:srcRect/>
                    <a:stretch>
                      <a:fillRect/>
                    </a:stretch>
                  </pic:blipFill>
                  <pic:spPr bwMode="auto">
                    <a:xfrm>
                      <a:off x="0" y="0"/>
                      <a:ext cx="4152900" cy="1924050"/>
                    </a:xfrm>
                    <a:prstGeom prst="rect">
                      <a:avLst/>
                    </a:prstGeom>
                    <a:noFill/>
                    <a:ln w="9525">
                      <a:noFill/>
                      <a:miter lim="800000"/>
                      <a:headEnd/>
                      <a:tailEnd/>
                    </a:ln>
                  </pic:spPr>
                </pic:pic>
              </a:graphicData>
            </a:graphic>
          </wp:inline>
        </w:drawing>
      </w:r>
    </w:p>
    <w:p w:rsidR="00424854" w:rsidRDefault="008011C2" w:rsidP="00FB00D6">
      <w:pPr>
        <w:jc w:val="center"/>
      </w:pPr>
      <w:r>
        <w:rPr>
          <w:noProof/>
          <w:lang w:eastAsia="es-MX"/>
        </w:rPr>
        <w:lastRenderedPageBreak/>
        <w:drawing>
          <wp:inline distT="0" distB="0" distL="0" distR="0">
            <wp:extent cx="4171950" cy="1933575"/>
            <wp:effectExtent l="19050" t="0" r="0" b="0"/>
            <wp:docPr id="81" name="Imagen 5" descr="evolucion anual Tmin entre 1961 y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evolucion anual Tmin entre 1961 y 2000"/>
                    <pic:cNvPicPr>
                      <a:picLocks noChangeAspect="1" noChangeArrowheads="1"/>
                    </pic:cNvPicPr>
                  </pic:nvPicPr>
                  <pic:blipFill>
                    <a:blip r:embed="rId109" cstate="print"/>
                    <a:srcRect/>
                    <a:stretch>
                      <a:fillRect/>
                    </a:stretch>
                  </pic:blipFill>
                  <pic:spPr bwMode="auto">
                    <a:xfrm>
                      <a:off x="0" y="0"/>
                      <a:ext cx="4171950" cy="1933575"/>
                    </a:xfrm>
                    <a:prstGeom prst="rect">
                      <a:avLst/>
                    </a:prstGeom>
                    <a:noFill/>
                    <a:ln w="9525">
                      <a:noFill/>
                      <a:miter lim="800000"/>
                      <a:headEnd/>
                      <a:tailEnd/>
                    </a:ln>
                  </pic:spPr>
                </pic:pic>
              </a:graphicData>
            </a:graphic>
          </wp:inline>
        </w:drawing>
      </w:r>
    </w:p>
    <w:p w:rsidR="00424854" w:rsidRDefault="008011C2" w:rsidP="00FB00D6">
      <w:pPr>
        <w:jc w:val="center"/>
      </w:pPr>
      <w:r>
        <w:rPr>
          <w:noProof/>
          <w:lang w:eastAsia="es-MX"/>
        </w:rPr>
        <w:drawing>
          <wp:inline distT="0" distB="0" distL="0" distR="0">
            <wp:extent cx="4133850" cy="1905000"/>
            <wp:effectExtent l="19050" t="0" r="0" b="0"/>
            <wp:docPr id="82" name="Imagen 6" descr="evolucion anual Precip entre 1961 y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evolucion anual Precip entre 1961 y 2000"/>
                    <pic:cNvPicPr>
                      <a:picLocks noChangeAspect="1" noChangeArrowheads="1"/>
                    </pic:cNvPicPr>
                  </pic:nvPicPr>
                  <pic:blipFill>
                    <a:blip r:embed="rId110" cstate="print"/>
                    <a:srcRect/>
                    <a:stretch>
                      <a:fillRect/>
                    </a:stretch>
                  </pic:blipFill>
                  <pic:spPr bwMode="auto">
                    <a:xfrm>
                      <a:off x="0" y="0"/>
                      <a:ext cx="4133850" cy="1905000"/>
                    </a:xfrm>
                    <a:prstGeom prst="rect">
                      <a:avLst/>
                    </a:prstGeom>
                    <a:noFill/>
                    <a:ln w="9525">
                      <a:noFill/>
                      <a:miter lim="800000"/>
                      <a:headEnd/>
                      <a:tailEnd/>
                    </a:ln>
                  </pic:spPr>
                </pic:pic>
              </a:graphicData>
            </a:graphic>
          </wp:inline>
        </w:drawing>
      </w:r>
    </w:p>
    <w:p w:rsidR="00C93DEE" w:rsidRPr="00C93DEE" w:rsidRDefault="00C93DEE" w:rsidP="00C93DEE">
      <w:pPr>
        <w:rPr>
          <w:sz w:val="18"/>
          <w:szCs w:val="18"/>
        </w:rPr>
      </w:pPr>
      <w:proofErr w:type="spellStart"/>
      <w:r w:rsidRPr="00C93DEE">
        <w:rPr>
          <w:sz w:val="18"/>
          <w:szCs w:val="18"/>
        </w:rPr>
        <w:t>Rosengaus</w:t>
      </w:r>
      <w:proofErr w:type="spellEnd"/>
      <w:r w:rsidRPr="00C93DEE">
        <w:rPr>
          <w:sz w:val="18"/>
          <w:szCs w:val="18"/>
        </w:rPr>
        <w:t xml:space="preserve"> M, M; 2009. Tendencias climáticas históricas en la región hidrológico-administrativa Balsas. SMN. CO</w:t>
      </w:r>
      <w:r w:rsidR="000D5FC4">
        <w:rPr>
          <w:sz w:val="18"/>
          <w:szCs w:val="18"/>
        </w:rPr>
        <w:t>N</w:t>
      </w:r>
      <w:r w:rsidRPr="00C93DEE">
        <w:rPr>
          <w:sz w:val="18"/>
          <w:szCs w:val="18"/>
        </w:rPr>
        <w:t>AGUA. México (información no publicada)</w:t>
      </w:r>
    </w:p>
    <w:p w:rsidR="0018471D" w:rsidRDefault="00DD1AF2" w:rsidP="00FB6048">
      <w:r>
        <w:t>P</w:t>
      </w:r>
      <w:r w:rsidR="00FB6048">
        <w:t>ara fomentar el desarrollo rural sostenible en las zonas áridas y semiáridas del país, la</w:t>
      </w:r>
      <w:r>
        <w:t xml:space="preserve"> Comisión Nacional de Zonas </w:t>
      </w:r>
      <w:r w:rsidR="0018471D">
        <w:t>Á</w:t>
      </w:r>
      <w:r>
        <w:t>ridas</w:t>
      </w:r>
      <w:r w:rsidR="00FB6048">
        <w:t xml:space="preserve"> </w:t>
      </w:r>
      <w:r>
        <w:t>(</w:t>
      </w:r>
      <w:r w:rsidR="00FB6048">
        <w:t>CONAZA</w:t>
      </w:r>
      <w:r>
        <w:t>)</w:t>
      </w:r>
      <w:r w:rsidR="00FB6048">
        <w:t xml:space="preserve"> y</w:t>
      </w:r>
      <w:r>
        <w:t xml:space="preserve"> la Universidad Autónoma</w:t>
      </w:r>
      <w:r w:rsidR="00FB6048">
        <w:t xml:space="preserve"> Chapingo han generado </w:t>
      </w:r>
      <w:r w:rsidR="0018471D">
        <w:t xml:space="preserve">escenarios climatológicos empleando una metodología que incorpora información de la capacidad de almacenamiento de humedad en el suelo (en función de su estructura y profundidad) así como la disponibilidad de la misma para las plantas. Al igual que en estudios anteriores aplican dos modelos de simulación para efectos de evaluar los cambios en diversos parámetros. </w:t>
      </w:r>
    </w:p>
    <w:p w:rsidR="008F3741" w:rsidRDefault="001C6AF8" w:rsidP="00FB6048">
      <w:r>
        <w:t xml:space="preserve">Los resultados indican que </w:t>
      </w:r>
      <w:r w:rsidR="00924DF7">
        <w:t xml:space="preserve">en condiciones actuales y </w:t>
      </w:r>
      <w:r>
        <w:t xml:space="preserve">para </w:t>
      </w:r>
      <w:r w:rsidR="00924DF7">
        <w:t>la mitad fría del año (noviembre a abril), el estado de Tlaxcala</w:t>
      </w:r>
      <w:r>
        <w:t xml:space="preserve"> </w:t>
      </w:r>
      <w:r w:rsidR="00924DF7">
        <w:t xml:space="preserve">muestra </w:t>
      </w:r>
      <w:r w:rsidR="00737489">
        <w:t xml:space="preserve">escases de agua </w:t>
      </w:r>
      <w:r w:rsidR="00924DF7">
        <w:t xml:space="preserve">en la porción oriental del mismo, pudiéndose tornar en </w:t>
      </w:r>
      <w:r w:rsidR="00737489">
        <w:t xml:space="preserve">alarmante (El Carmen </w:t>
      </w:r>
      <w:proofErr w:type="spellStart"/>
      <w:r w:rsidR="00737489">
        <w:t>Tequexquitla</w:t>
      </w:r>
      <w:proofErr w:type="spellEnd"/>
      <w:r w:rsidR="00737489">
        <w:t xml:space="preserve">, </w:t>
      </w:r>
      <w:proofErr w:type="spellStart"/>
      <w:r w:rsidR="00737489">
        <w:t>Cuapiaxtla</w:t>
      </w:r>
      <w:proofErr w:type="spellEnd"/>
      <w:r w:rsidR="00737489">
        <w:t xml:space="preserve">, Huamantla, </w:t>
      </w:r>
      <w:proofErr w:type="spellStart"/>
      <w:r w:rsidR="00737489">
        <w:t>Altazayanca</w:t>
      </w:r>
      <w:proofErr w:type="spellEnd"/>
      <w:r w:rsidR="00737489">
        <w:t>)</w:t>
      </w:r>
      <w:r w:rsidR="00924DF7">
        <w:t>,</w:t>
      </w:r>
      <w:r w:rsidR="00737489">
        <w:t xml:space="preserve"> y sobre todo la parte extrema de El Carmen </w:t>
      </w:r>
      <w:proofErr w:type="spellStart"/>
      <w:r w:rsidR="00737489">
        <w:t>Tequexquitla</w:t>
      </w:r>
      <w:proofErr w:type="spellEnd"/>
      <w:r w:rsidR="00737489">
        <w:t xml:space="preserve"> la escases se vuelve muy grave. Es así que bajo el modelo canadiense, los pronósticos señalan que el 54% del estado sufrirá deficiencias de humedad por lo que se convierte en marginal para el desarrollo de actividades agropecuarias que no utilicen sistemas de captaci</w:t>
      </w:r>
      <w:r w:rsidR="00924DF7">
        <w:t xml:space="preserve">ón de agua de lluvia, estas condiciones de escases </w:t>
      </w:r>
      <w:r w:rsidR="0018471D">
        <w:t xml:space="preserve">se </w:t>
      </w:r>
      <w:r w:rsidR="00924DF7">
        <w:t xml:space="preserve">acentúan sobre todo en la época fría del año e incluye prácticamente la totalidad del acuífero de Huamantla. Por su parte, el modelo norteamericano, de forma anual, pronostica mejores condicione de humedad al incrementarse el temporal, lo que </w:t>
      </w:r>
      <w:r w:rsidR="0018471D">
        <w:t xml:space="preserve">se </w:t>
      </w:r>
      <w:r w:rsidR="00924DF7">
        <w:t>requeriría para ciertas zonas</w:t>
      </w:r>
      <w:r w:rsidR="0018471D">
        <w:t>,</w:t>
      </w:r>
      <w:r w:rsidR="00924DF7">
        <w:t xml:space="preserve"> obras de manejo y conservación de agua (escurrimientos excesivos), pero de noviembre a abril, la deficiencia de humedad se torna grave e incluye prácticamente la totalidad del acuífero Huamantla.</w:t>
      </w:r>
    </w:p>
    <w:p w:rsidR="00924DF7" w:rsidRDefault="00891F68" w:rsidP="00FB6048">
      <w:r>
        <w:lastRenderedPageBreak/>
        <w:t>Para el estado de Puebla, las condiciones actuales muestran condiciones de humedad adecuadas de enero a diciembre sobre todo en los municipios periféricos del acuífero Libres-Oriental, más sin embargo, conforme se desplaza hacia el centro del mismo</w:t>
      </w:r>
      <w:r w:rsidR="0018471D">
        <w:t>,</w:t>
      </w:r>
      <w:r>
        <w:t xml:space="preserve"> la humedad se vuelve más restrictiva. Estacionalmente, las escases de humedad se agudiza durante los meses de noviembre a abril en donde ahora prácticamente la totalidad del territorio del acuífero Libres-Oriental presenta condiciones donde la carencia de humedad compromete el abasto del agua</w:t>
      </w:r>
      <w:r w:rsidR="0018471D">
        <w:t xml:space="preserve"> y </w:t>
      </w:r>
      <w:r>
        <w:t xml:space="preserve"> desarrollo de actividades agropecuarias. La gravedad de la situación es tal que, en el 29% del territorio estatal no es posible mantener niveles de desarrollo mínimos sin la cosecha de agua de lluvia. </w:t>
      </w:r>
    </w:p>
    <w:p w:rsidR="00891F68" w:rsidRDefault="00891F68" w:rsidP="00FB6048">
      <w:r>
        <w:t>De acuerdo con el modelo canadiense las condiciones de humedad se tornan más críticas que las actuales para todo el acuífero Libres-Oriental</w:t>
      </w:r>
      <w:r w:rsidR="00EE60D7">
        <w:t>. Durante los meses de mayo a octubre, el periodo de lluvias tenderá a ser extremadamente errático, con precipitaciones torrenciales y esporádicas, dificultando la actividad agropecuaria y abasto de agua en sitios donde no utilicen sistemas de manejo sustentable del agua, dichos escenarios se tornan de gran importancia sobre todo en la región central que co</w:t>
      </w:r>
      <w:r w:rsidR="00B90916">
        <w:t>linda con el estado de Tlaxcala</w:t>
      </w:r>
      <w:r w:rsidR="00EE60D7">
        <w:t>. El periodo más crítico se presenta de noviembre a abril, donde el déficit de humedad será tan grave que puede llegar a limitar la disponibilidad del agua para consumo humano y las actividades productivas.</w:t>
      </w:r>
    </w:p>
    <w:p w:rsidR="00EE60D7" w:rsidRDefault="00EE60D7" w:rsidP="00FB6048">
      <w:r>
        <w:t xml:space="preserve">Para el modelo norteamericano, y al igual que para el estado de Tlaxcala, anualmente la disponibilidad de humedad se verá incrementada, siendo las partes más beneficiadas las vertientes de la Sierra Madre Oriental que colindan con Puebla. La época de lluvias traería consigo un incremento en los volúmenes de escurrimiento que demandaría de obras de manejo de suelo y agua, más sin embargo, para la época fría del año (noviembre a abril)  las condiciones de disponibilidad de humedad en el acuífero </w:t>
      </w:r>
      <w:r w:rsidR="009961A5">
        <w:t>Libres-</w:t>
      </w:r>
      <w:r w:rsidR="00B90916">
        <w:t>O</w:t>
      </w:r>
      <w:r w:rsidR="009961A5">
        <w:t xml:space="preserve">riental se vería seriamente disminuida siendo necesario la ejecución de acciones de cosecha de agua de lluvia, conservación de suelos y reconversión productiva, para mantener los niveles actuales de desarrollo y consumo. </w:t>
      </w:r>
    </w:p>
    <w:p w:rsidR="00A60E84" w:rsidRDefault="00A60E84" w:rsidP="00FB6048">
      <w:r>
        <w:t xml:space="preserve">Para el caso del estado de Veracruz, actualmente se identifican condiciones de humedad adecuadas para el 95% del territorio estatal, y en el resto existen restricciones para actividades agropecuarias o </w:t>
      </w:r>
      <w:proofErr w:type="spellStart"/>
      <w:r>
        <w:t>forestería</w:t>
      </w:r>
      <w:proofErr w:type="spellEnd"/>
      <w:r>
        <w:t xml:space="preserve">, incluyendo a los municipios de Perote y anexos, situación que se incrementa de manera leve en la época fría del año pero no de manera alarmante. De acuerdo al modelo canadiense, de forma anual, el modelo pronostica que municipios participes en el acuífero de Perote podrán verse limitados en la disponibilidad de humedad si no emplean sistemas de captación y manejo de agua de lluvia, situación que incrementaría su situación durante los meses de noviembre a abril. </w:t>
      </w:r>
    </w:p>
    <w:p w:rsidR="00A60E84" w:rsidRDefault="00A60E84" w:rsidP="00FB6048">
      <w:r>
        <w:t>Por su parte, de acuerdo al modelo norteamericano, la entidad aumenta la disponibilidad de humedad con respecto a las condiciones actuales, llegándose a presentar problemas de escurrimientos excesivos. No obstante las condiciones anteriores, de noviembre a abril disminuye drásticamente la disponibilidad de agua</w:t>
      </w:r>
      <w:r w:rsidR="00D736AC">
        <w:t xml:space="preserve"> llegando a ser necesario la puesta en marcha de obras de manejo sustentable del agua, particularmente, entre otros, dentro de los municipios circunscritos en el acuífero Perote. </w:t>
      </w:r>
    </w:p>
    <w:p w:rsidR="00350667" w:rsidRDefault="00350667" w:rsidP="00C75702"/>
    <w:p w:rsidR="00350667" w:rsidRDefault="00DC099E" w:rsidP="00C75702">
      <w:r>
        <w:t>Ante el panorama anteriormente descrito, es necesario señalar diversos puntos:</w:t>
      </w:r>
    </w:p>
    <w:p w:rsidR="00DC099E" w:rsidRDefault="00DC099E" w:rsidP="00DC099E">
      <w:pPr>
        <w:numPr>
          <w:ilvl w:val="0"/>
          <w:numId w:val="128"/>
        </w:numPr>
      </w:pPr>
      <w:r>
        <w:t>Una contingencia climatológica (sequía, helada, granizada, etc</w:t>
      </w:r>
      <w:r w:rsidR="001A0E0C">
        <w:t>.</w:t>
      </w:r>
      <w:r>
        <w:t xml:space="preserve">) es un fenómeno natural  </w:t>
      </w:r>
      <w:r w:rsidR="00EC3E71">
        <w:t>(evento desestabilizador de un</w:t>
      </w:r>
      <w:r w:rsidR="002F16EF">
        <w:t xml:space="preserve"> sistema) </w:t>
      </w:r>
      <w:r>
        <w:t>para el cual es necesario un proceso de adaptación por parte de la población directamente involucrada.</w:t>
      </w:r>
    </w:p>
    <w:p w:rsidR="00DC099E" w:rsidRDefault="00DC099E" w:rsidP="00DC099E">
      <w:pPr>
        <w:numPr>
          <w:ilvl w:val="0"/>
          <w:numId w:val="128"/>
        </w:numPr>
      </w:pPr>
      <w:r>
        <w:t xml:space="preserve">La contingencia climatológica se transforma en desastre natural cuando existe falta de prevención e insuficientes medidas de mitigación </w:t>
      </w:r>
      <w:r w:rsidR="002F16EF">
        <w:t>antes, durante y después de cada evento desestabilizador.</w:t>
      </w:r>
    </w:p>
    <w:p w:rsidR="002F16EF" w:rsidRDefault="002F16EF" w:rsidP="00DC099E">
      <w:pPr>
        <w:numPr>
          <w:ilvl w:val="0"/>
          <w:numId w:val="128"/>
        </w:numPr>
      </w:pPr>
      <w:r>
        <w:t xml:space="preserve">Los costos económicos, ambientales, sociales y productivos son ostensiblemente </w:t>
      </w:r>
      <w:r w:rsidR="00AD0B95">
        <w:t>superiores</w:t>
      </w:r>
      <w:r>
        <w:t xml:space="preserve"> en la fase de reconstrucción de daños que en la fase de prevención y mitigación. </w:t>
      </w:r>
    </w:p>
    <w:p w:rsidR="00EC3E71" w:rsidRDefault="00EC3E71" w:rsidP="00DC099E">
      <w:pPr>
        <w:numPr>
          <w:ilvl w:val="0"/>
          <w:numId w:val="128"/>
        </w:numPr>
      </w:pPr>
      <w:r>
        <w:t>La intensidad de contingencias climatológicas se vislumbran cada vez mayor, y su presencia se torna errática e impredecible.</w:t>
      </w:r>
    </w:p>
    <w:p w:rsidR="00AD0B95" w:rsidRDefault="00AD0B95" w:rsidP="00DC099E">
      <w:pPr>
        <w:numPr>
          <w:ilvl w:val="0"/>
          <w:numId w:val="128"/>
        </w:numPr>
      </w:pPr>
      <w:r>
        <w:t xml:space="preserve">Mientras no exista un control real en el ritmo de extracciones de agua subterránea, el </w:t>
      </w:r>
      <w:proofErr w:type="spellStart"/>
      <w:r>
        <w:t>sobreaprovechamiento</w:t>
      </w:r>
      <w:proofErr w:type="spellEnd"/>
      <w:r>
        <w:t xml:space="preserve"> de éstas en épocas de contingencia climatológica pone en riesgo el esfuerzo para estabilizar el acuífero, y lograr posteriormente</w:t>
      </w:r>
      <w:r w:rsidR="00EC3E71">
        <w:t>,</w:t>
      </w:r>
      <w:r>
        <w:t xml:space="preserve"> su recuperación. </w:t>
      </w:r>
    </w:p>
    <w:p w:rsidR="0064798B" w:rsidRDefault="0064798B" w:rsidP="00DC099E">
      <w:pPr>
        <w:numPr>
          <w:ilvl w:val="0"/>
          <w:numId w:val="128"/>
        </w:numPr>
      </w:pPr>
      <w:r>
        <w:t>El comprometer volúmenes de agua más allá de lo razonable esperando que en el futuro la sequía se revierta puede ser contraproducente, incrementando el riesgo de escases en el futuro.</w:t>
      </w:r>
    </w:p>
    <w:p w:rsidR="00B7593D" w:rsidRDefault="00312C44" w:rsidP="00AD0B95">
      <w:r>
        <w:t>S</w:t>
      </w:r>
      <w:r w:rsidR="00EC3E71">
        <w:t>e reconoce que el actual Plan de Manejo representa en sí una de las medidas de prevención y mitigación para efectos de la presencia de contingencias climatológicas, específicamente</w:t>
      </w:r>
      <w:r w:rsidR="00B72EEF">
        <w:t>,</w:t>
      </w:r>
      <w:r w:rsidR="00EC3E71">
        <w:t xml:space="preserve"> se </w:t>
      </w:r>
      <w:r w:rsidR="00B7593D">
        <w:t xml:space="preserve">identifican </w:t>
      </w:r>
      <w:r w:rsidR="0051749F">
        <w:t xml:space="preserve">siete Objetivos Estratégicos,  12 Líneas Estratégicas y </w:t>
      </w:r>
      <w:r w:rsidR="00B7593D">
        <w:t xml:space="preserve">21 Líneas de Acción directamente relacionadas a este tema. </w:t>
      </w:r>
    </w:p>
    <w:p w:rsidR="00C75702" w:rsidRDefault="00C75702" w:rsidP="00C75702">
      <w:r>
        <w:t xml:space="preserve">A partir de lo anterior, </w:t>
      </w:r>
      <w:r w:rsidR="00AA2639">
        <w:t>la prevención y mitigación de c</w:t>
      </w:r>
      <w:r>
        <w:t>ontingencias por eventos de sequía en el acuífero HLOP requiere del trabajo coordinado de los tres órdenes de gobierno, sociedad y sector productivo. Por ello, como elemento estratégico, es necesario, en el corto plazo, generar un Convenio de Coordinación Marco entre la SAGARPA y los Gobiernos Estatales de Tlaxcala, Puebla y Veracruz, para la conjunción de acciones y recursos de apoyo a sectores productivos bajo el esquema del Programa de Atención a Contingencias Climatológicas</w:t>
      </w:r>
      <w:r w:rsidR="00E10BED">
        <w:t xml:space="preserve"> (PACC)</w:t>
      </w:r>
      <w:r>
        <w:t>, y específicamente del Fondo de para Atender a la Población Rural Afectada por Contingencias Climatológicas (FAPRACC)</w:t>
      </w:r>
      <w:r w:rsidR="00AA2639">
        <w:t xml:space="preserve">  (Línea Estratégica 3.2; Línea de Acción 3.2.1)</w:t>
      </w:r>
      <w:r w:rsidR="00E10BED">
        <w:t>.</w:t>
      </w:r>
    </w:p>
    <w:p w:rsidR="00C50565" w:rsidRDefault="00C50565" w:rsidP="00C75702">
      <w:r>
        <w:t>En sí, el Plan de Contingencias se destaca en dos etapas:</w:t>
      </w:r>
    </w:p>
    <w:p w:rsidR="00C50565" w:rsidRDefault="00C50565" w:rsidP="00C50565">
      <w:pPr>
        <w:ind w:left="284" w:firstLine="0"/>
      </w:pPr>
      <w:r w:rsidRPr="007B45FC">
        <w:rPr>
          <w:b/>
        </w:rPr>
        <w:t xml:space="preserve">Etapa </w:t>
      </w:r>
      <w:r w:rsidR="0064798B" w:rsidRPr="007B45FC">
        <w:rPr>
          <w:b/>
        </w:rPr>
        <w:t>P</w:t>
      </w:r>
      <w:r w:rsidRPr="007B45FC">
        <w:rPr>
          <w:b/>
        </w:rPr>
        <w:t>reventiva</w:t>
      </w:r>
      <w:r>
        <w:t xml:space="preserve">: Como se ha dicho anteriormente, la implantación y ejecución del presente Plan de Manejo representa en sí la mejor opción para la adaptación y mitigación de impactos generados por contingencias climatológicas. Sin embargo, </w:t>
      </w:r>
      <w:r w:rsidR="00015DF8">
        <w:t>se requiere también de otras acciones coadyuvantes</w:t>
      </w:r>
      <w:r>
        <w:t xml:space="preserve">: </w:t>
      </w:r>
    </w:p>
    <w:p w:rsidR="0064798B" w:rsidRDefault="0064798B" w:rsidP="00015DF8">
      <w:pPr>
        <w:ind w:left="704" w:firstLine="0"/>
      </w:pPr>
      <w:r w:rsidRPr="00015DF8">
        <w:rPr>
          <w:b/>
        </w:rPr>
        <w:lastRenderedPageBreak/>
        <w:t>Monitoreo hidroclimatológico</w:t>
      </w:r>
      <w:r w:rsidR="00015DF8">
        <w:t xml:space="preserve">. Este monitoreo se viene realizando de manera ininterrumpida por el Servicio Meteorológico Nacional, y por lo tanto, las organizaciones de productores, así como usuarios en general, son responsables de su oportuna conocimiento a través de los distintos medios para ello. En sí, la dependencia en cuestión genera el respectivo Boletín Meteorológico a nivel nacional, situación que debe tomarse como herramienta oportuna para adecuarse a las condiciones </w:t>
      </w:r>
      <w:proofErr w:type="spellStart"/>
      <w:r w:rsidR="00015DF8">
        <w:t>hidroclimáticas</w:t>
      </w:r>
      <w:proofErr w:type="spellEnd"/>
      <w:r w:rsidR="00015DF8">
        <w:t xml:space="preserve"> venideras. </w:t>
      </w:r>
    </w:p>
    <w:p w:rsidR="00576650" w:rsidRDefault="00576650" w:rsidP="00015DF8">
      <w:pPr>
        <w:ind w:left="704" w:firstLine="0"/>
      </w:pPr>
      <w:r>
        <w:rPr>
          <w:b/>
        </w:rPr>
        <w:t>Capacitación e información</w:t>
      </w:r>
      <w:r>
        <w:t xml:space="preserve">. Dado que el sector agrícola enfrenta la mayor amenaza por contingencias climatológicas, la capacitación de este sector debe darse en términos técnicos referente a reconversión de cultivos, conservación de suelo y agua, conservación de ecosistemas, etc. Estas actividades están comprendidas en las Líneas Estratégicas vinculadas al Objetivo Específico 3 Manejo sustentable de cuencas y acuíferos. </w:t>
      </w:r>
    </w:p>
    <w:p w:rsidR="003B4753" w:rsidRDefault="0064798B" w:rsidP="00C50565">
      <w:pPr>
        <w:ind w:left="284" w:firstLine="0"/>
      </w:pPr>
      <w:r>
        <w:tab/>
      </w:r>
      <w:r w:rsidRPr="007B45FC">
        <w:rPr>
          <w:b/>
        </w:rPr>
        <w:t>Etapa Mitigación</w:t>
      </w:r>
      <w:r>
        <w:t xml:space="preserve">: </w:t>
      </w:r>
      <w:r w:rsidR="003B4753">
        <w:t xml:space="preserve">En cuanto a la mayor amenaza por contingencia climatológica, la identificación de la sequía representa en sí un reto importante. </w:t>
      </w:r>
      <w:r w:rsidR="00E44B94">
        <w:t xml:space="preserve">Se ha caracterizado a la sequía desde diversos puntos de vista (ambientales, sociales, económicos, etc.), sin embargo, en este momento solo nos enfocaremos a dos </w:t>
      </w:r>
      <w:r w:rsidR="003B4753">
        <w:t xml:space="preserve">tipos de sequía; meteorológica e hidrológica. La primera se refiere a un retraso atípico de las condiciones de humedad estacional o bien la ausencia de lluvia en cortos periodos durante la época  </w:t>
      </w:r>
      <w:r w:rsidR="00BD7CF5">
        <w:t>húmeda</w:t>
      </w:r>
      <w:r w:rsidR="003B4753">
        <w:t>. La sequía hidrológica es más difícil de determinar, pero se presenta por periodos de mayor duración que la anterior</w:t>
      </w:r>
      <w:r w:rsidR="00684D2C">
        <w:t xml:space="preserve">, reflejándose en la disminución irrefutable de caudales, presas y acuíferos. </w:t>
      </w:r>
    </w:p>
    <w:p w:rsidR="00684D2C" w:rsidRPr="00684D2C" w:rsidRDefault="00684D2C" w:rsidP="00C50565">
      <w:pPr>
        <w:ind w:left="284" w:firstLine="0"/>
      </w:pPr>
      <w:r w:rsidRPr="00684D2C">
        <w:t xml:space="preserve">A partir de lo anterior, </w:t>
      </w:r>
      <w:r>
        <w:t xml:space="preserve">es necesario identificar en primera instancia el tipo de sequía, y promover en consecuencia las siguientes acciones: </w:t>
      </w:r>
    </w:p>
    <w:p w:rsidR="00684D2C" w:rsidRDefault="0064798B" w:rsidP="00684D2C">
      <w:pPr>
        <w:ind w:left="1409" w:firstLine="0"/>
      </w:pPr>
      <w:r w:rsidRPr="00684D2C">
        <w:rPr>
          <w:b/>
        </w:rPr>
        <w:t xml:space="preserve">Sequia </w:t>
      </w:r>
      <w:r w:rsidR="00684D2C" w:rsidRPr="00684D2C">
        <w:rPr>
          <w:b/>
        </w:rPr>
        <w:t>Meteorológica</w:t>
      </w:r>
      <w:r>
        <w:t xml:space="preserve">: </w:t>
      </w:r>
      <w:r w:rsidR="00684D2C">
        <w:t xml:space="preserve">Dado que esta sequía es de corta duración, y sus repercusiones en la agricultura </w:t>
      </w:r>
      <w:r w:rsidR="008618C4">
        <w:t xml:space="preserve">repercuten principalmente </w:t>
      </w:r>
      <w:r w:rsidR="00684D2C">
        <w:t xml:space="preserve">en el desarrollo fenológico de los cultivos, la autoridad competente, a partir de una evaluación previa, podrá promover el ajuste en fechas de siembra y cosecha, empleando para ello comunicación rápida y efectiva para efectos de mitigar en mayor medida los daños esperados. </w:t>
      </w:r>
    </w:p>
    <w:p w:rsidR="00BD7CF5" w:rsidRDefault="0064798B" w:rsidP="00684D2C">
      <w:pPr>
        <w:ind w:left="1409" w:firstLine="0"/>
      </w:pPr>
      <w:r w:rsidRPr="00684D2C">
        <w:rPr>
          <w:b/>
        </w:rPr>
        <w:t xml:space="preserve">Sequía </w:t>
      </w:r>
      <w:r w:rsidR="00684D2C" w:rsidRPr="00684D2C">
        <w:rPr>
          <w:b/>
        </w:rPr>
        <w:t>Hidrológica</w:t>
      </w:r>
      <w:r w:rsidR="00684D2C">
        <w:t xml:space="preserve">. </w:t>
      </w:r>
      <w:r>
        <w:t xml:space="preserve">Dado que este tipo de sequía es de </w:t>
      </w:r>
      <w:r w:rsidR="007B45FC">
        <w:t>presencia indiscutible</w:t>
      </w:r>
      <w:r w:rsidR="00BD7CF5">
        <w:t xml:space="preserve"> y por periodos de tiempo considerables, es necesario adecuar diversas etapas de producción.</w:t>
      </w:r>
    </w:p>
    <w:p w:rsidR="00BD7CF5" w:rsidRPr="00BD7CF5" w:rsidRDefault="00BD7CF5" w:rsidP="00BD7CF5">
      <w:pPr>
        <w:ind w:left="2124" w:firstLine="5"/>
      </w:pPr>
      <w:r>
        <w:rPr>
          <w:b/>
        </w:rPr>
        <w:t xml:space="preserve">Uso de variedades agrícolas resistentes a la sequía. </w:t>
      </w:r>
      <w:r>
        <w:t xml:space="preserve">Para este efecto, instancias de investigación superior como el INIFAP y diversas universidades han generado un amplio campo de conocimiento en este tema. </w:t>
      </w:r>
    </w:p>
    <w:p w:rsidR="00BD7CF5" w:rsidRDefault="00BD7CF5" w:rsidP="00BD7CF5">
      <w:pPr>
        <w:ind w:left="2124" w:firstLine="12"/>
      </w:pPr>
      <w:r>
        <w:rPr>
          <w:b/>
        </w:rPr>
        <w:t xml:space="preserve">Sustitución de cultivos tradicionales por cultivos alternos, </w:t>
      </w:r>
      <w:r w:rsidRPr="00BD7CF5">
        <w:t>aun a costa de una posible reducción en términos de rentabilidad económica</w:t>
      </w:r>
      <w:r>
        <w:t>.</w:t>
      </w:r>
    </w:p>
    <w:p w:rsidR="00BD7CF5" w:rsidRDefault="00BD7CF5" w:rsidP="00BD7CF5">
      <w:pPr>
        <w:ind w:left="2124" w:firstLine="5"/>
      </w:pPr>
      <w:r w:rsidRPr="00BD7CF5">
        <w:rPr>
          <w:b/>
        </w:rPr>
        <w:t>Reducción de extensión agrícola</w:t>
      </w:r>
      <w:r>
        <w:t xml:space="preserve">. Dado que mayor extensión sembrada requiere de mayores volúmenes de agua, </w:t>
      </w:r>
      <w:r w:rsidR="004C1E58">
        <w:t xml:space="preserve">se recomienda la asignación limitada de subsidios para control de superficies sembradas. </w:t>
      </w:r>
    </w:p>
    <w:p w:rsidR="0064798B" w:rsidRDefault="0064798B" w:rsidP="00684D2C">
      <w:pPr>
        <w:ind w:left="1409" w:firstLine="0"/>
      </w:pPr>
    </w:p>
    <w:p w:rsidR="00C75702" w:rsidRDefault="000C5C49" w:rsidP="00FB6048">
      <w:r>
        <w:t xml:space="preserve">En términos de regionalización de medidas, se identifica que la porción del acuífero Huamantla enfrenta mayores amenazas por déficit de agua, y además, la dinámica de abatimientos es considerable, razón por lo cual, la adaptación y reconversión de cultivos, así como el fomento de obras de capitación de agua de lluvia representan una medida adecuada. Para el caso de la porción del acuífero Libres-Oriental, los niveles estáticos son más someros, por lo que un </w:t>
      </w:r>
      <w:proofErr w:type="spellStart"/>
      <w:r>
        <w:t>sobreaprovechamiento</w:t>
      </w:r>
      <w:proofErr w:type="spellEnd"/>
      <w:r>
        <w:t xml:space="preserve"> de agua subterránea en épocas de sequía no implicaría elevación de costos, pero sí, un mayor desequilibrio hidrológico que aceleraría la desaparición de los dos cuerpos de agua de mayor importancia: El Carmen y El Salado. </w:t>
      </w:r>
    </w:p>
    <w:p w:rsidR="00593698" w:rsidRPr="00A11AA0" w:rsidRDefault="00593698" w:rsidP="00FB6048">
      <w:r>
        <w:t xml:space="preserve">En lo que se refiere a la porción de Perote, en esta región se </w:t>
      </w:r>
      <w:r w:rsidR="001568F0">
        <w:t xml:space="preserve">pueden presentar </w:t>
      </w:r>
      <w:r>
        <w:t xml:space="preserve">contingencias relacionadas con heladas </w:t>
      </w:r>
      <w:r w:rsidR="009D5A30">
        <w:t>y</w:t>
      </w:r>
      <w:r w:rsidR="001568F0">
        <w:t xml:space="preserve"> sequías, por lo que el monitoreo climatológico reviste de gran importancia; sin embargo, dado que en esta región se ubica una importante actividad pecuaria </w:t>
      </w:r>
      <w:r w:rsidR="009D5A30">
        <w:t xml:space="preserve">se habrán de contemplar medidas fitosanitarias y nutrimentales que aseguren la sobrevivencia de las distintas especies comerciales. </w:t>
      </w:r>
    </w:p>
    <w:p w:rsidR="00007268" w:rsidRDefault="00007268" w:rsidP="008011C2">
      <w:pPr>
        <w:pStyle w:val="Ttulo1"/>
      </w:pPr>
      <w:bookmarkStart w:id="250" w:name="_Toc283886488"/>
      <w:r>
        <w:lastRenderedPageBreak/>
        <w:t>Conclusiones y recomendaciones</w:t>
      </w:r>
      <w:bookmarkEnd w:id="250"/>
    </w:p>
    <w:p w:rsidR="00F6486F" w:rsidRDefault="00F6486F" w:rsidP="008011C2">
      <w:pPr>
        <w:pStyle w:val="Ttulo2"/>
        <w:numPr>
          <w:ilvl w:val="0"/>
          <w:numId w:val="0"/>
        </w:numPr>
      </w:pPr>
      <w:bookmarkStart w:id="251" w:name="_Toc260095384"/>
      <w:bookmarkStart w:id="252" w:name="_Toc283886489"/>
      <w:r>
        <w:t>Conclusiones</w:t>
      </w:r>
      <w:bookmarkEnd w:id="251"/>
      <w:bookmarkEnd w:id="252"/>
    </w:p>
    <w:p w:rsidR="00F6486F" w:rsidRDefault="00F6486F" w:rsidP="00D271DE">
      <w:pPr>
        <w:numPr>
          <w:ilvl w:val="0"/>
          <w:numId w:val="96"/>
        </w:numPr>
        <w:ind w:left="428"/>
      </w:pPr>
      <w:r>
        <w:t>Por su carácter de cuenca cerrada y elevadas montañas que captan la precipitación principalmente proveniente del Golfo de México, los acuíferos del Valle de Oriental a través de la historia estuvieron saturados, con descargas que principalmente ocurrieron a través de las lagunas del Carmen y El Salado y en menor medida, descargas horizontales hacia otros acuíferos.  El aprovechamiento de agua subterránea ha reducido progresivamente las descargas verticales, con grandes cambios en las lagunas, que se han vuelto estacionales y cada vez de formación más esporádica.</w:t>
      </w:r>
    </w:p>
    <w:p w:rsidR="00F6486F" w:rsidRDefault="00F6486F" w:rsidP="00D271DE">
      <w:pPr>
        <w:numPr>
          <w:ilvl w:val="0"/>
          <w:numId w:val="96"/>
        </w:numPr>
        <w:ind w:left="428"/>
      </w:pPr>
      <w:r>
        <w:t>Los acuíferos de Huamantla, Libres – Oriental y Perote, se encuentran en una cuenca susceptible a los procesos de desertificación, que han sido acelerados por la deforestación, el cambio de uso de suelo y la desecación de los lagos, la pérdida de la reserva subterránea se refleja también en lagos cráter que de ser ocho originalmente, en la actualidad quedan seis y uno está por desaparecer.</w:t>
      </w:r>
    </w:p>
    <w:p w:rsidR="00F6486F" w:rsidRDefault="00F6486F" w:rsidP="00D271DE">
      <w:pPr>
        <w:numPr>
          <w:ilvl w:val="0"/>
          <w:numId w:val="96"/>
        </w:numPr>
        <w:ind w:left="428"/>
      </w:pPr>
      <w:r>
        <w:t>El acuífero de Libres – Oriental, dentro de sus límites oficiales, cuenta con una porción localizada al Oriente del Pico de Orizaba, misma que carece de una relación hidrogeológica con la Cuenca de Oriental.  El acuífero de Perote – Zalayeta, en su zona norte, presenta una zona que carece de aprovechamientos y presenta importantes condiciones de recarga, además de las descargas propias del acuífero hacia el Acuífero Martínez de la Torre.</w:t>
      </w:r>
    </w:p>
    <w:p w:rsidR="00F6486F" w:rsidRDefault="00F6486F" w:rsidP="00D271DE">
      <w:pPr>
        <w:numPr>
          <w:ilvl w:val="0"/>
          <w:numId w:val="96"/>
        </w:numPr>
        <w:ind w:left="428"/>
      </w:pPr>
      <w:r>
        <w:t>En general, los tres acuíferos presentan una tendencia de abatimiento lenta, que fluctúa entre 20 cm y 30 cm por año (promedio de cada acuífero), estos cambios tienen un gran efecto en las grandes lagunas.</w:t>
      </w:r>
    </w:p>
    <w:p w:rsidR="00F6486F" w:rsidRDefault="00F6486F" w:rsidP="00D271DE">
      <w:pPr>
        <w:numPr>
          <w:ilvl w:val="0"/>
          <w:numId w:val="96"/>
        </w:numPr>
        <w:ind w:left="428"/>
      </w:pPr>
      <w:r>
        <w:t>La elevada permeabilidad de los suelos y la gran extensión del acuífero Libres – Oriental, conjugada con la moderada tasa de abatimiento, hace que durante años con lluvias extraordinarias el acuífero tenga importantes recuperaciones que se concentran en las áreas lacustres, zonas de descarga que dan origen a las lagunas.</w:t>
      </w:r>
    </w:p>
    <w:p w:rsidR="00F6486F" w:rsidRDefault="00F6486F" w:rsidP="00D271DE">
      <w:pPr>
        <w:numPr>
          <w:ilvl w:val="0"/>
          <w:numId w:val="96"/>
        </w:numPr>
        <w:ind w:left="428"/>
      </w:pPr>
      <w:r>
        <w:t>En la década de 2000 a 2009, la superficie agrícola de riego tuvo un comportamiento estable en general, excepto en el Estado de Tlaxcala, donde se presentó una reducción de la superficie.  Dadas estas condiciones, la demanda inercial del sector agrícola es actualmente a la baja.</w:t>
      </w:r>
    </w:p>
    <w:p w:rsidR="00F6486F" w:rsidRDefault="00F6486F" w:rsidP="00D271DE">
      <w:pPr>
        <w:numPr>
          <w:ilvl w:val="0"/>
          <w:numId w:val="96"/>
        </w:numPr>
        <w:ind w:left="428"/>
      </w:pPr>
      <w:r>
        <w:t xml:space="preserve">El acuífero Libres – Oriental es el acuífero de mayores dimensiones dentro de la cuenca del área de estudio, aun cuando presenta una reserva almacenada cuantiosa y con un moderado ritmo de abatimiento, el Sistema Hidrológico de su cuenca es susceptible a una gran sensibilidad a los abatimientos.  </w:t>
      </w:r>
    </w:p>
    <w:p w:rsidR="00F6486F" w:rsidRDefault="00F6486F" w:rsidP="00D271DE">
      <w:pPr>
        <w:numPr>
          <w:ilvl w:val="0"/>
          <w:numId w:val="96"/>
        </w:numPr>
        <w:ind w:left="428"/>
      </w:pPr>
      <w:r>
        <w:lastRenderedPageBreak/>
        <w:t>Dado que los tres acuíferos presentan en general un abatimiento, se concluye que existe un desequilibrio en su balance, sin embargo, actualmente ese desequilibrio tiene sus principales efectos en el medio ambiente y en las captaciones someras.</w:t>
      </w:r>
    </w:p>
    <w:p w:rsidR="00F6486F" w:rsidRDefault="00F6486F" w:rsidP="00D271DE">
      <w:pPr>
        <w:numPr>
          <w:ilvl w:val="0"/>
          <w:numId w:val="96"/>
        </w:numPr>
        <w:ind w:left="428"/>
      </w:pPr>
      <w:r>
        <w:t>Por medio de políticas de manejo del acuífero por zonas, y con diversas acciones sobre la demanda, será posible recuperar en un mediano plazo condiciones en el acuífero similares a las observadas en la primera década de los años noventa.</w:t>
      </w:r>
    </w:p>
    <w:p w:rsidR="00F6486F" w:rsidRDefault="00F6486F" w:rsidP="00D271DE">
      <w:pPr>
        <w:numPr>
          <w:ilvl w:val="0"/>
          <w:numId w:val="96"/>
        </w:numPr>
        <w:ind w:left="428"/>
      </w:pPr>
      <w:r>
        <w:t>El análisis de precipitación para los últimos 30 años en los acuíferos de Huamantla y Libres – Oriental, presenta una tendencia a la baja, que puede tener una relación directa con la situación de los lagos, que progresivamente han sido secados.</w:t>
      </w:r>
    </w:p>
    <w:p w:rsidR="00F6486F" w:rsidRDefault="00F6486F" w:rsidP="00D271DE">
      <w:pPr>
        <w:numPr>
          <w:ilvl w:val="0"/>
          <w:numId w:val="96"/>
        </w:numPr>
        <w:ind w:left="428"/>
      </w:pPr>
      <w:r>
        <w:t>Se estima que la extracción total actual del acuífero, asciende a poco más de 334 millones de metros cúbicos, cifra que supera en casi cien millones de metros cúbicos el volumen concesionado, esta tasa de aprovechamiento tiende a mantener secas las lagunas y a mantener un ritmo de abatimiento en el futuro.</w:t>
      </w:r>
    </w:p>
    <w:p w:rsidR="00F6486F" w:rsidRDefault="00F6486F" w:rsidP="00D271DE">
      <w:pPr>
        <w:numPr>
          <w:ilvl w:val="0"/>
          <w:numId w:val="96"/>
        </w:numPr>
        <w:ind w:left="428"/>
      </w:pPr>
      <w:r>
        <w:t>La sobreexplotación histórica ha tenido efectos mínimos o nulos en los pozos profundos, mientras se carece de un registro de norias o aprovechamientos someros afectados, de manera que el sobrecosto económico causado, es por mucho inferior al valor económico de la producción lograda a través del aprovechamiento de aguas subterráneas.  Igualmente, estos abatimientos no han causado a la fecha fallas, fracturas, colapso de pozos ni daños de cualquier índole a la infraestructura.</w:t>
      </w:r>
    </w:p>
    <w:p w:rsidR="00F6486F" w:rsidRDefault="00F6486F" w:rsidP="00D271DE">
      <w:pPr>
        <w:numPr>
          <w:ilvl w:val="0"/>
          <w:numId w:val="96"/>
        </w:numPr>
        <w:ind w:left="428"/>
      </w:pPr>
      <w:r>
        <w:t>Debido a que en la actualidad el acuífero presenta ya una respuesta de abatimiento ante el aprovechamiento de las aguas subterráneas, cualquier proyecto de trasvase de aguas desde la Cuenca de Oriental hacia otras cuencas externas, causaría un gran desequilibrio ambiental en la cuenca, así como un progresivo deterioro en la calidad de los suelos y del agua.</w:t>
      </w:r>
    </w:p>
    <w:p w:rsidR="00F6486F" w:rsidRPr="00566E59" w:rsidRDefault="00F6486F" w:rsidP="00D271DE">
      <w:pPr>
        <w:numPr>
          <w:ilvl w:val="0"/>
          <w:numId w:val="96"/>
        </w:numPr>
        <w:ind w:left="428"/>
      </w:pPr>
      <w:r>
        <w:t xml:space="preserve">Las alternativas de uso eficiente del agua, representan por sí solas, medidas suficientes para la estabilización del acuífero, esto sin necesidad de recurrir a otras alternativas para el manejo de la demanda, como son: el </w:t>
      </w:r>
      <w:proofErr w:type="spellStart"/>
      <w:r>
        <w:t>reuso</w:t>
      </w:r>
      <w:proofErr w:type="spellEnd"/>
      <w:r>
        <w:t>, el banco de derechos de agua y la recarga artificial de acuíferos.</w:t>
      </w:r>
    </w:p>
    <w:p w:rsidR="00F6486F" w:rsidRPr="002B3D62" w:rsidRDefault="00F6486F" w:rsidP="008011C2">
      <w:pPr>
        <w:pStyle w:val="Ttulo2"/>
        <w:numPr>
          <w:ilvl w:val="0"/>
          <w:numId w:val="0"/>
        </w:numPr>
      </w:pPr>
      <w:bookmarkStart w:id="253" w:name="_Toc260095385"/>
      <w:bookmarkStart w:id="254" w:name="_Toc283886490"/>
      <w:r>
        <w:t>Recomendaciones</w:t>
      </w:r>
      <w:bookmarkEnd w:id="253"/>
      <w:bookmarkEnd w:id="254"/>
    </w:p>
    <w:p w:rsidR="00F6486F" w:rsidRDefault="00F6486F" w:rsidP="00D271DE">
      <w:pPr>
        <w:numPr>
          <w:ilvl w:val="0"/>
          <w:numId w:val="97"/>
        </w:numPr>
      </w:pPr>
      <w:r>
        <w:t>En las áreas próximas a las lagunas y a los lagos cráter, es conveniente evitar el aprovechamiento de aguas subterráneas, ya que impactan directamente sobre las lagunas.   Dichas lagunas a su vez debe instrumentarse mediante la colocación de piezómetros.</w:t>
      </w:r>
    </w:p>
    <w:p w:rsidR="00F6486F" w:rsidRDefault="00F6486F" w:rsidP="00D271DE">
      <w:pPr>
        <w:numPr>
          <w:ilvl w:val="0"/>
          <w:numId w:val="97"/>
        </w:numPr>
      </w:pPr>
      <w:r>
        <w:t xml:space="preserve">En los sitios próximos a las áreas de descarga de manantiales, es igualmente inconveniente construir nuevas captaciones, que pueden interferir con la afluencia de flujo </w:t>
      </w:r>
      <w:proofErr w:type="spellStart"/>
      <w:r>
        <w:t>subsuperficial</w:t>
      </w:r>
      <w:proofErr w:type="spellEnd"/>
      <w:r>
        <w:t>.</w:t>
      </w:r>
    </w:p>
    <w:p w:rsidR="00F6486F" w:rsidRDefault="00F6486F" w:rsidP="00D271DE">
      <w:pPr>
        <w:numPr>
          <w:ilvl w:val="0"/>
          <w:numId w:val="97"/>
        </w:numPr>
      </w:pPr>
      <w:r>
        <w:t>Es conveniente detener el abatimiento de los niveles piezométricos en cada uno de los acuíferos.</w:t>
      </w:r>
    </w:p>
    <w:p w:rsidR="00060617" w:rsidRPr="00060617" w:rsidRDefault="00060617" w:rsidP="00060617"/>
    <w:sectPr w:rsidR="00060617" w:rsidRPr="00060617" w:rsidSect="00352076">
      <w:headerReference w:type="even" r:id="rId111"/>
      <w:headerReference w:type="default" r:id="rId112"/>
      <w:footerReference w:type="default" r:id="rId113"/>
      <w:pgSz w:w="12240" w:h="15840" w:code="1"/>
      <w:pgMar w:top="1374" w:right="1134" w:bottom="1701" w:left="1418" w:header="709"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68A7" w:rsidRDefault="00AC68A7" w:rsidP="00014C20">
      <w:r>
        <w:separator/>
      </w:r>
    </w:p>
    <w:p w:rsidR="00AC68A7" w:rsidRDefault="00AC68A7" w:rsidP="00014C20"/>
    <w:p w:rsidR="00AC68A7" w:rsidRDefault="00AC68A7" w:rsidP="00014C20"/>
    <w:p w:rsidR="00AC68A7" w:rsidRDefault="00AC68A7" w:rsidP="00014C20"/>
  </w:endnote>
  <w:endnote w:type="continuationSeparator" w:id="0">
    <w:p w:rsidR="00AC68A7" w:rsidRDefault="00AC68A7" w:rsidP="00014C20">
      <w:r>
        <w:continuationSeparator/>
      </w:r>
    </w:p>
    <w:p w:rsidR="00AC68A7" w:rsidRDefault="00AC68A7" w:rsidP="00014C20"/>
    <w:p w:rsidR="00AC68A7" w:rsidRDefault="00AC68A7" w:rsidP="00014C20"/>
    <w:p w:rsidR="00AC68A7" w:rsidRDefault="00AC68A7" w:rsidP="00014C20"/>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Myriad Web Pro">
    <w:panose1 w:val="020B0503030403020204"/>
    <w:charset w:val="00"/>
    <w:family w:val="swiss"/>
    <w:pitch w:val="variable"/>
    <w:sig w:usb0="8000002F" w:usb1="5000204A" w:usb2="00000000" w:usb3="00000000" w:csb0="00000093" w:csb1="00000000"/>
  </w:font>
  <w:font w:name="Helvetica">
    <w:panose1 w:val="020B0604020202020204"/>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Narrow">
    <w:altName w:val="Segoe Script"/>
    <w:panose1 w:val="020B0606020202030204"/>
    <w:charset w:val="00"/>
    <w:family w:val="swiss"/>
    <w:pitch w:val="variable"/>
    <w:sig w:usb0="00000287" w:usb1="00000800" w:usb2="00000000" w:usb3="00000000" w:csb0="0000009F" w:csb1="00000000"/>
  </w:font>
  <w:font w:name="Presidencia Fuerte Versalitas">
    <w:panose1 w:val="00000000000000000000"/>
    <w:charset w:val="00"/>
    <w:family w:val="modern"/>
    <w:notTrueType/>
    <w:pitch w:val="variable"/>
    <w:sig w:usb0="800000AF" w:usb1="4000004A"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BE2961" w:rsidP="00C350E7">
    <w:pPr>
      <w:pStyle w:val="Piedepgina"/>
      <w:framePr w:wrap="around" w:vAnchor="text" w:hAnchor="margin" w:xAlign="right" w:y="1"/>
      <w:rPr>
        <w:rStyle w:val="Nmerodepgina"/>
      </w:rPr>
    </w:pPr>
    <w:r>
      <w:rPr>
        <w:rStyle w:val="Nmerodepgina"/>
      </w:rPr>
      <w:fldChar w:fldCharType="begin"/>
    </w:r>
    <w:r w:rsidR="002E4597">
      <w:rPr>
        <w:rStyle w:val="Nmerodepgina"/>
      </w:rPr>
      <w:instrText xml:space="preserve">PAGE  </w:instrText>
    </w:r>
    <w:r>
      <w:rPr>
        <w:rStyle w:val="Nmerodepgina"/>
      </w:rPr>
      <w:fldChar w:fldCharType="end"/>
    </w:r>
  </w:p>
  <w:p w:rsidR="002E4597" w:rsidRDefault="002E4597" w:rsidP="00B63D12">
    <w:pPr>
      <w:pStyle w:val="Piedepgina"/>
      <w:ind w:right="360"/>
      <w:rPr>
        <w:rStyle w:val="Nmerodepgina"/>
      </w:rPr>
    </w:pPr>
  </w:p>
  <w:p w:rsidR="002E4597" w:rsidRDefault="002E4597" w:rsidP="00014C20">
    <w:pPr>
      <w:pStyle w:val="Piedepgina"/>
      <w:rPr>
        <w:rStyle w:val="Nmerodepgina"/>
      </w:rPr>
    </w:pPr>
  </w:p>
  <w:p w:rsidR="002E4597" w:rsidRDefault="002E4597" w:rsidP="00014C20">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shd w:val="clear" w:color="000000" w:fill="auto"/>
      <w:tblLook w:val="01E0"/>
    </w:tblPr>
    <w:tblGrid>
      <w:gridCol w:w="4068"/>
      <w:gridCol w:w="5760"/>
    </w:tblGrid>
    <w:tr w:rsidR="002E4597">
      <w:tc>
        <w:tcPr>
          <w:tcW w:w="4068" w:type="dxa"/>
          <w:shd w:val="clear" w:color="000000" w:fill="auto"/>
        </w:tcPr>
        <w:p w:rsidR="002E4597" w:rsidRPr="002C55FB" w:rsidRDefault="002E4597" w:rsidP="002C55FB">
          <w:pPr>
            <w:pStyle w:val="Piedepgina"/>
            <w:ind w:firstLine="0"/>
            <w:rPr>
              <w:rFonts w:eastAsia="Times New Roman"/>
              <w:b/>
              <w:bCs/>
            </w:rPr>
          </w:pPr>
          <w:r>
            <w:rPr>
              <w:rFonts w:eastAsia="Times New Roman"/>
              <w:b/>
              <w:noProof/>
              <w:lang w:eastAsia="es-MX"/>
            </w:rPr>
            <w:drawing>
              <wp:inline distT="0" distB="0" distL="0" distR="0">
                <wp:extent cx="2047875" cy="781050"/>
                <wp:effectExtent l="19050" t="0" r="9525" b="0"/>
                <wp:docPr id="83" name="Imagen 3" descr="LogoOct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LogoOct2007"/>
                        <pic:cNvPicPr>
                          <a:picLocks noChangeAspect="1" noChangeArrowheads="1"/>
                        </pic:cNvPicPr>
                      </pic:nvPicPr>
                      <pic:blipFill>
                        <a:blip r:embed="rId1"/>
                        <a:srcRect/>
                        <a:stretch>
                          <a:fillRect/>
                        </a:stretch>
                      </pic:blipFill>
                      <pic:spPr bwMode="auto">
                        <a:xfrm>
                          <a:off x="0" y="0"/>
                          <a:ext cx="2047875" cy="781050"/>
                        </a:xfrm>
                        <a:prstGeom prst="rect">
                          <a:avLst/>
                        </a:prstGeom>
                        <a:noFill/>
                        <a:ln w="9525">
                          <a:noFill/>
                          <a:miter lim="800000"/>
                          <a:headEnd/>
                          <a:tailEnd/>
                        </a:ln>
                      </pic:spPr>
                    </pic:pic>
                  </a:graphicData>
                </a:graphic>
              </wp:inline>
            </w:drawing>
          </w:r>
        </w:p>
      </w:tc>
      <w:tc>
        <w:tcPr>
          <w:tcW w:w="5760" w:type="dxa"/>
          <w:shd w:val="clear" w:color="000000" w:fill="auto"/>
        </w:tcPr>
        <w:p w:rsidR="002E4597" w:rsidRPr="002C55FB" w:rsidRDefault="002E4597" w:rsidP="00B613A7">
          <w:pPr>
            <w:pStyle w:val="Piedepgina"/>
            <w:ind w:firstLine="0"/>
            <w:jc w:val="right"/>
            <w:rPr>
              <w:rFonts w:eastAsia="Times New Roman"/>
              <w:b/>
              <w:bCs/>
            </w:rPr>
          </w:pPr>
        </w:p>
        <w:p w:rsidR="002E4597" w:rsidRDefault="002E4597" w:rsidP="00B613A7">
          <w:pPr>
            <w:pStyle w:val="Piedepgina"/>
            <w:ind w:firstLine="0"/>
            <w:jc w:val="right"/>
            <w:rPr>
              <w:rFonts w:eastAsia="Times New Roman"/>
              <w:b/>
              <w:bCs/>
            </w:rPr>
          </w:pPr>
          <w:r>
            <w:rPr>
              <w:rFonts w:eastAsia="Times New Roman"/>
              <w:b/>
              <w:bCs/>
            </w:rPr>
            <w:t>Av. División del Norte No. 3184-3</w:t>
          </w:r>
        </w:p>
        <w:p w:rsidR="002E4597" w:rsidRDefault="002E4597" w:rsidP="00B613A7">
          <w:pPr>
            <w:pStyle w:val="Piedepgina"/>
            <w:ind w:firstLine="0"/>
            <w:jc w:val="right"/>
            <w:rPr>
              <w:rFonts w:eastAsia="Times New Roman"/>
              <w:b/>
              <w:bCs/>
            </w:rPr>
          </w:pPr>
          <w:r>
            <w:rPr>
              <w:rFonts w:eastAsia="Times New Roman"/>
              <w:b/>
              <w:bCs/>
            </w:rPr>
            <w:t>Col Ciudad Jardín, Coyoacán</w:t>
          </w:r>
        </w:p>
        <w:p w:rsidR="002E4597" w:rsidRDefault="002E4597" w:rsidP="00B613A7">
          <w:pPr>
            <w:pStyle w:val="Piedepgina"/>
            <w:ind w:firstLine="0"/>
            <w:jc w:val="right"/>
            <w:rPr>
              <w:rFonts w:eastAsia="Times New Roman"/>
              <w:b/>
              <w:bCs/>
            </w:rPr>
          </w:pPr>
          <w:r>
            <w:rPr>
              <w:rFonts w:eastAsia="Times New Roman"/>
              <w:b/>
              <w:bCs/>
            </w:rPr>
            <w:t>México, D.F.</w:t>
          </w:r>
        </w:p>
        <w:p w:rsidR="002E4597" w:rsidRPr="002C55FB" w:rsidRDefault="002E4597" w:rsidP="00B613A7">
          <w:pPr>
            <w:pStyle w:val="Piedepgina"/>
            <w:ind w:firstLine="0"/>
            <w:jc w:val="right"/>
            <w:rPr>
              <w:rFonts w:eastAsia="Times New Roman"/>
              <w:b/>
              <w:bCs/>
            </w:rPr>
          </w:pPr>
          <w:r>
            <w:rPr>
              <w:rFonts w:eastAsia="Times New Roman"/>
              <w:b/>
              <w:bCs/>
            </w:rPr>
            <w:t xml:space="preserve">C.P. 04370 </w:t>
          </w:r>
        </w:p>
      </w:tc>
    </w:tr>
  </w:tbl>
  <w:p w:rsidR="002E4597" w:rsidRDefault="002E4597" w:rsidP="000569FC"/>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Pr="003D2EC9" w:rsidRDefault="002E4597" w:rsidP="003D2EC9">
    <w:pPr>
      <w:pStyle w:val="Piedepgina"/>
      <w:ind w:firstLine="0"/>
      <w:jc w:val="center"/>
      <w:rPr>
        <w:color w:val="17365D"/>
        <w:sz w:val="20"/>
        <w:szCs w:val="20"/>
      </w:rPr>
    </w:pPr>
    <w:r w:rsidRPr="003D2EC9">
      <w:rPr>
        <w:i/>
        <w:color w:val="17365D"/>
        <w:sz w:val="20"/>
        <w:szCs w:val="20"/>
      </w:rPr>
      <w:t>Ingeniería y Gestión Hídrica S.C</w:t>
    </w:r>
    <w:r w:rsidRPr="003D2EC9">
      <w:rPr>
        <w:color w:val="17365D"/>
        <w:sz w:val="20"/>
        <w:szCs w:val="20"/>
      </w:rPr>
      <w:t xml:space="preserve">.                                                                                                                  </w:t>
    </w:r>
    <w:r w:rsidR="00BE2961" w:rsidRPr="003D2EC9">
      <w:rPr>
        <w:color w:val="17365D"/>
        <w:sz w:val="20"/>
        <w:szCs w:val="20"/>
      </w:rPr>
      <w:fldChar w:fldCharType="begin"/>
    </w:r>
    <w:r w:rsidRPr="003D2EC9">
      <w:rPr>
        <w:color w:val="17365D"/>
        <w:sz w:val="20"/>
        <w:szCs w:val="20"/>
      </w:rPr>
      <w:instrText xml:space="preserve"> PAGE   \* MERGEFORMAT </w:instrText>
    </w:r>
    <w:r w:rsidR="00BE2961" w:rsidRPr="003D2EC9">
      <w:rPr>
        <w:color w:val="17365D"/>
        <w:sz w:val="20"/>
        <w:szCs w:val="20"/>
      </w:rPr>
      <w:fldChar w:fldCharType="separate"/>
    </w:r>
    <w:r w:rsidR="001E715D">
      <w:rPr>
        <w:noProof/>
        <w:color w:val="17365D"/>
        <w:sz w:val="20"/>
        <w:szCs w:val="20"/>
      </w:rPr>
      <w:t>41</w:t>
    </w:r>
    <w:r w:rsidR="00BE2961" w:rsidRPr="003D2EC9">
      <w:rPr>
        <w:color w:val="17365D"/>
        <w:sz w:val="20"/>
        <w:szCs w:val="20"/>
      </w:rPr>
      <w:fldChar w:fldCharType="end"/>
    </w:r>
  </w:p>
  <w:p w:rsidR="002E4597" w:rsidRPr="006D35B9" w:rsidRDefault="002E4597" w:rsidP="00B63D12">
    <w:pPr>
      <w:pStyle w:val="IGH"/>
      <w:ind w:right="360"/>
      <w:rPr>
        <w:lang w:val="es-MX"/>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BE2961" w:rsidP="00C350E7">
    <w:pPr>
      <w:pStyle w:val="Piedepgina"/>
      <w:framePr w:wrap="around" w:vAnchor="text" w:hAnchor="margin" w:xAlign="right" w:y="1"/>
      <w:rPr>
        <w:rStyle w:val="Nmerodepgina"/>
      </w:rPr>
    </w:pPr>
    <w:r>
      <w:rPr>
        <w:rStyle w:val="Nmerodepgina"/>
      </w:rPr>
      <w:fldChar w:fldCharType="begin"/>
    </w:r>
    <w:r w:rsidR="002E4597">
      <w:rPr>
        <w:rStyle w:val="Nmerodepgina"/>
      </w:rPr>
      <w:instrText xml:space="preserve">PAGE  </w:instrText>
    </w:r>
    <w:r>
      <w:rPr>
        <w:rStyle w:val="Nmerodepgina"/>
      </w:rPr>
      <w:fldChar w:fldCharType="separate"/>
    </w:r>
    <w:r w:rsidR="001E715D">
      <w:rPr>
        <w:rStyle w:val="Nmerodepgina"/>
        <w:noProof/>
      </w:rPr>
      <w:t>164</w:t>
    </w:r>
    <w:r>
      <w:rPr>
        <w:rStyle w:val="Nmerodepgina"/>
      </w:rPr>
      <w:fldChar w:fldCharType="end"/>
    </w:r>
  </w:p>
  <w:p w:rsidR="002E4597" w:rsidRPr="006D35B9" w:rsidRDefault="002E4597" w:rsidP="00B63D12">
    <w:pPr>
      <w:pStyle w:val="IGH"/>
      <w:ind w:right="360"/>
      <w:rPr>
        <w:lang w:val="es-MX"/>
      </w:rPr>
    </w:pPr>
    <w:r w:rsidRPr="006D35B9">
      <w:rPr>
        <w:lang w:val="es-MX"/>
      </w:rPr>
      <w:t xml:space="preserve">Ingeniería y Gestión Hídrica S. C.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BE2961" w:rsidP="00C350E7">
    <w:pPr>
      <w:pStyle w:val="Piedepgina"/>
      <w:framePr w:wrap="around" w:vAnchor="text" w:hAnchor="margin" w:xAlign="right" w:y="1"/>
      <w:rPr>
        <w:rStyle w:val="Nmerodepgina"/>
      </w:rPr>
    </w:pPr>
    <w:r>
      <w:rPr>
        <w:rStyle w:val="Nmerodepgina"/>
      </w:rPr>
      <w:fldChar w:fldCharType="begin"/>
    </w:r>
    <w:r w:rsidR="002E4597">
      <w:rPr>
        <w:rStyle w:val="Nmerodepgina"/>
      </w:rPr>
      <w:instrText xml:space="preserve">PAGE  </w:instrText>
    </w:r>
    <w:r>
      <w:rPr>
        <w:rStyle w:val="Nmerodepgina"/>
      </w:rPr>
      <w:fldChar w:fldCharType="separate"/>
    </w:r>
    <w:r w:rsidR="001E715D">
      <w:rPr>
        <w:rStyle w:val="Nmerodepgina"/>
        <w:noProof/>
      </w:rPr>
      <w:t>186</w:t>
    </w:r>
    <w:r>
      <w:rPr>
        <w:rStyle w:val="Nmerodepgina"/>
      </w:rPr>
      <w:fldChar w:fldCharType="end"/>
    </w:r>
  </w:p>
  <w:p w:rsidR="002E4597" w:rsidRPr="006D35B9" w:rsidRDefault="002E4597" w:rsidP="00B63D12">
    <w:pPr>
      <w:pStyle w:val="IGH"/>
      <w:ind w:right="360"/>
      <w:rPr>
        <w:lang w:val="es-MX"/>
      </w:rPr>
    </w:pPr>
    <w:r w:rsidRPr="006D35B9">
      <w:rPr>
        <w:lang w:val="es-MX"/>
      </w:rPr>
      <w:t xml:space="preserve">Ingeniería y Gestión Hídrica S. C.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68A7" w:rsidRDefault="00AC68A7" w:rsidP="00014C20">
      <w:r>
        <w:separator/>
      </w:r>
    </w:p>
    <w:p w:rsidR="00AC68A7" w:rsidRDefault="00AC68A7" w:rsidP="00014C20"/>
    <w:p w:rsidR="00AC68A7" w:rsidRDefault="00AC68A7" w:rsidP="00014C20"/>
    <w:p w:rsidR="00AC68A7" w:rsidRDefault="00AC68A7" w:rsidP="00014C20"/>
  </w:footnote>
  <w:footnote w:type="continuationSeparator" w:id="0">
    <w:p w:rsidR="00AC68A7" w:rsidRDefault="00AC68A7" w:rsidP="00014C20">
      <w:r>
        <w:continuationSeparator/>
      </w:r>
    </w:p>
    <w:p w:rsidR="00AC68A7" w:rsidRDefault="00AC68A7" w:rsidP="00014C20"/>
    <w:p w:rsidR="00AC68A7" w:rsidRDefault="00AC68A7" w:rsidP="00014C20"/>
    <w:p w:rsidR="00AC68A7" w:rsidRDefault="00AC68A7" w:rsidP="00014C20"/>
  </w:footnote>
  <w:footnote w:id="1">
    <w:p w:rsidR="002E4597" w:rsidRDefault="002E4597">
      <w:pPr>
        <w:pStyle w:val="Textonotapie"/>
      </w:pPr>
      <w:r>
        <w:rPr>
          <w:rStyle w:val="Refdenotaalpie"/>
        </w:rPr>
        <w:footnoteRef/>
      </w:r>
      <w:r>
        <w:t xml:space="preserve"> </w:t>
      </w:r>
      <w:r w:rsidRPr="00E949D7">
        <w:rPr>
          <w:sz w:val="18"/>
          <w:szCs w:val="18"/>
        </w:rPr>
        <w:t>Considera al PIB total municipal de aquellos municipios que participan parcial o totalmente en la poligonal oficial de cada uno de los acuíferos. A partir de Instituto Nacional para el Federalismo y el Desarrollo Municipal.</w:t>
      </w:r>
    </w:p>
  </w:footnote>
  <w:footnote w:id="2">
    <w:p w:rsidR="002E4597" w:rsidRPr="004E0DA3" w:rsidRDefault="002E4597" w:rsidP="00804104">
      <w:pPr>
        <w:pStyle w:val="Textonotapie"/>
        <w:rPr>
          <w:sz w:val="16"/>
          <w:szCs w:val="16"/>
        </w:rPr>
      </w:pPr>
      <w:r w:rsidRPr="004E0DA3">
        <w:rPr>
          <w:rStyle w:val="Refdenotaalpie"/>
          <w:rFonts w:ascii="Arial Narrow" w:hAnsi="Arial Narrow"/>
          <w:sz w:val="16"/>
          <w:szCs w:val="16"/>
        </w:rPr>
        <w:footnoteRef/>
      </w:r>
      <w:r>
        <w:rPr>
          <w:rFonts w:ascii="Arial Narrow" w:hAnsi="Arial Narrow"/>
          <w:sz w:val="16"/>
          <w:szCs w:val="16"/>
        </w:rPr>
        <w:t xml:space="preserve"> NOM-011-CONAGUA-2000. Conservación del recurso agua. Establece las especificaciones y el método para determinar la disponibilidad media anual de las aguas nacionales</w:t>
      </w:r>
      <w:r w:rsidRPr="004E0DA3">
        <w:rPr>
          <w:sz w:val="16"/>
          <w:szCs w:val="16"/>
        </w:rPr>
        <w:t>.</w:t>
      </w:r>
    </w:p>
    <w:p w:rsidR="002E4597" w:rsidRDefault="002E4597" w:rsidP="00804104">
      <w:pPr>
        <w:pStyle w:val="Textonotapie"/>
      </w:pPr>
    </w:p>
  </w:footnote>
  <w:footnote w:id="3">
    <w:p w:rsidR="002E4597" w:rsidRDefault="002E4597">
      <w:pPr>
        <w:pStyle w:val="Textonotapie"/>
      </w:pPr>
      <w:r w:rsidRPr="00BE735A">
        <w:rPr>
          <w:rStyle w:val="Refdenotaalpie"/>
          <w:sz w:val="24"/>
        </w:rPr>
        <w:footnoteRef/>
      </w:r>
      <w:r w:rsidRPr="00BE735A">
        <w:rPr>
          <w:sz w:val="24"/>
        </w:rPr>
        <w:t xml:space="preserve"> </w:t>
      </w:r>
      <w:r w:rsidRPr="00BE735A">
        <w:rPr>
          <w:sz w:val="18"/>
        </w:rPr>
        <w:t>Estas cifras difieren de las reportadas por GICO, lo que se atribuye a dos fuentes de error: la primera, un censo incompleto que careció de importante porcentaje de captaciones; la segunda, debida a la estimación de la lámina de riego para una cédula de cultivos muy general, que mediante información de mayor detalle implica un incremento adicional.</w:t>
      </w:r>
    </w:p>
  </w:footnote>
  <w:footnote w:id="4">
    <w:p w:rsidR="002E4597" w:rsidRDefault="002E4597" w:rsidP="00BE6122">
      <w:pPr>
        <w:pStyle w:val="Textonotapie"/>
      </w:pPr>
      <w:r>
        <w:rPr>
          <w:rStyle w:val="Refdenotaalpie"/>
        </w:rPr>
        <w:footnoteRef/>
      </w:r>
      <w:r>
        <w:t xml:space="preserve"> Se considera que incluye desde Huamantla hasta Perote</w:t>
      </w:r>
    </w:p>
  </w:footnote>
  <w:footnote w:id="5">
    <w:p w:rsidR="002E4597" w:rsidRDefault="002E4597" w:rsidP="00F02D89">
      <w:pPr>
        <w:pStyle w:val="Textonotapie"/>
      </w:pPr>
      <w:r>
        <w:rPr>
          <w:rStyle w:val="Refdenotaalpie"/>
        </w:rPr>
        <w:footnoteRef/>
      </w:r>
      <w:r>
        <w:t xml:space="preserve"> De acuerdo con el </w:t>
      </w:r>
      <w:r w:rsidRPr="00413677">
        <w:rPr>
          <w:i/>
        </w:rPr>
        <w:t>Anexo 70 Definiciones del Programa de Atención a Contingencias Climatológicas</w:t>
      </w:r>
      <w:r>
        <w:t xml:space="preserve"> del </w:t>
      </w:r>
      <w:r w:rsidRPr="00413677">
        <w:rPr>
          <w:i/>
        </w:rPr>
        <w:t>Acuerdo por el que se dan a conocer las Reglas de Operación de los Programas de la Secretaría de Agricultura, Ganadería, Desarrollo Rural, Pesca y Alimentación que se indican</w:t>
      </w:r>
      <w:r>
        <w:t>, publicado en el Diario Oficial de la Federación el 29 de diciembre de 2009.</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Pr="00E469A5" w:rsidRDefault="002E4597" w:rsidP="001A683F">
    <w:pPr>
      <w:ind w:firstLine="0"/>
      <w:jc w:val="left"/>
      <w:rPr>
        <w:rFonts w:ascii="Arial Narrow" w:hAnsi="Arial Narrow"/>
        <w:b/>
        <w:color w:val="214F75"/>
        <w:szCs w:val="22"/>
      </w:rPr>
    </w:pPr>
    <w:r>
      <w:rPr>
        <w:rFonts w:ascii="Arial Narrow" w:hAnsi="Arial Narrow"/>
        <w:noProof/>
        <w:lang w:eastAsia="es-MX"/>
      </w:rPr>
      <w:drawing>
        <wp:anchor distT="0" distB="0" distL="114300" distR="114300" simplePos="0" relativeHeight="251657728" behindDoc="0" locked="0" layoutInCell="1" allowOverlap="1">
          <wp:simplePos x="0" y="0"/>
          <wp:positionH relativeFrom="column">
            <wp:posOffset>4081780</wp:posOffset>
          </wp:positionH>
          <wp:positionV relativeFrom="paragraph">
            <wp:posOffset>-95885</wp:posOffset>
          </wp:positionV>
          <wp:extent cx="2070100" cy="825500"/>
          <wp:effectExtent l="19050" t="0" r="6350" b="0"/>
          <wp:wrapSquare wrapText="bothSides"/>
          <wp:docPr id="1" name="Imagen 1" descr="logo-c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cna"/>
                  <pic:cNvPicPr>
                    <a:picLocks noChangeAspect="1" noChangeArrowheads="1"/>
                  </pic:cNvPicPr>
                </pic:nvPicPr>
                <pic:blipFill>
                  <a:blip r:embed="rId1"/>
                  <a:srcRect/>
                  <a:stretch>
                    <a:fillRect/>
                  </a:stretch>
                </pic:blipFill>
                <pic:spPr bwMode="auto">
                  <a:xfrm>
                    <a:off x="0" y="0"/>
                    <a:ext cx="2070100" cy="825500"/>
                  </a:xfrm>
                  <a:prstGeom prst="rect">
                    <a:avLst/>
                  </a:prstGeom>
                  <a:noFill/>
                  <a:ln w="9525">
                    <a:noFill/>
                    <a:miter lim="800000"/>
                    <a:headEnd/>
                    <a:tailEnd/>
                  </a:ln>
                </pic:spPr>
              </pic:pic>
            </a:graphicData>
          </a:graphic>
        </wp:anchor>
      </w:drawing>
    </w:r>
    <w:r w:rsidRPr="00E469A5">
      <w:rPr>
        <w:rFonts w:ascii="Arial Narrow" w:hAnsi="Arial Narrow"/>
        <w:b/>
        <w:color w:val="214F75"/>
        <w:szCs w:val="22"/>
      </w:rPr>
      <w:t>ORGANISMO DE CUENCA BALSAS</w:t>
    </w:r>
  </w:p>
  <w:p w:rsidR="002E4597" w:rsidRPr="00E469A5" w:rsidRDefault="002E4597" w:rsidP="00F3534D">
    <w:pPr>
      <w:ind w:firstLine="0"/>
      <w:rPr>
        <w:rFonts w:ascii="Arial Narrow" w:hAnsi="Arial Narrow"/>
        <w:b/>
        <w:color w:val="214F75"/>
        <w:szCs w:val="22"/>
      </w:rPr>
    </w:pPr>
    <w:r w:rsidRPr="00E469A5">
      <w:rPr>
        <w:rFonts w:ascii="Arial Narrow" w:hAnsi="Arial Narrow"/>
        <w:b/>
        <w:color w:val="214F75"/>
        <w:szCs w:val="22"/>
      </w:rPr>
      <w:t>DIRECCIÓN TECNICA</w:t>
    </w:r>
  </w:p>
  <w:p w:rsidR="002E4597" w:rsidRPr="00E469A5" w:rsidRDefault="002E4597" w:rsidP="001A683F">
    <w:pPr>
      <w:ind w:firstLine="0"/>
      <w:rPr>
        <w:rFonts w:ascii="Arial Narrow" w:hAnsi="Arial Narrow"/>
        <w:b/>
        <w:color w:val="214F75"/>
        <w:szCs w:val="22"/>
      </w:rPr>
    </w:pPr>
    <w:r w:rsidRPr="00E469A5">
      <w:rPr>
        <w:rFonts w:ascii="Arial Narrow" w:hAnsi="Arial Narrow"/>
        <w:b/>
        <w:color w:val="214F75"/>
        <w:szCs w:val="22"/>
      </w:rPr>
      <w:t>SUBDIRECCIÓN DE AGUAS SUBTERRÁNEAS</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2E4597" w:rsidP="00014C20"/>
  <w:p w:rsidR="002E4597" w:rsidRDefault="002E4597" w:rsidP="00014C20"/>
  <w:p w:rsidR="002E4597" w:rsidRDefault="002E4597" w:rsidP="00014C20"/>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Pr="003E4A08" w:rsidRDefault="002E4597" w:rsidP="003E4A08">
    <w:pPr>
      <w:pStyle w:val="Encabezado"/>
      <w:jc w:val="right"/>
      <w:rPr>
        <w:sz w:val="16"/>
        <w:szCs w:val="16"/>
      </w:rPr>
    </w:pPr>
    <w:r w:rsidRPr="003E4A08">
      <w:rPr>
        <w:rFonts w:ascii="Arial Rounded MT Bold" w:hAnsi="Arial Rounded MT Bold"/>
        <w:noProof/>
        <w:color w:val="214F75"/>
        <w:sz w:val="16"/>
        <w:szCs w:val="16"/>
        <w:u w:val="single"/>
      </w:rPr>
      <w:t>PLAN DE MANEJO INTEGRADO PARA EL APROVECHAMIENTO SOSTENIBLE DEL AGUA EN EL ÁREA DE INFLUENCIA DEL ACUÍFERO HUAMANTLA-LIBRES ORIENTAL-PEROTE</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Pr="003E4A08" w:rsidRDefault="002E4597" w:rsidP="003E4A08">
    <w:pPr>
      <w:pStyle w:val="Encabezado"/>
      <w:jc w:val="right"/>
      <w:rPr>
        <w:sz w:val="16"/>
        <w:szCs w:val="16"/>
      </w:rPr>
    </w:pPr>
    <w:r w:rsidRPr="003E4A08">
      <w:rPr>
        <w:rFonts w:ascii="Arial Rounded MT Bold" w:hAnsi="Arial Rounded MT Bold"/>
        <w:noProof/>
        <w:color w:val="214F75"/>
        <w:sz w:val="16"/>
        <w:szCs w:val="16"/>
        <w:u w:val="single"/>
      </w:rPr>
      <w:t>PLAN DE MANEJO INTEGRADO PARA EL APROVECHAMIENTO SOSTENIBLE DEL AGUA EN EL ÁREA DE INFLUENCIA DEL ACUÍFERO HUAMANTLA-LIBRES ORIENTAL-PEROTE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2E4597" w:rsidP="00014C20"/>
  <w:p w:rsidR="002E4597" w:rsidRDefault="002E4597" w:rsidP="00014C20"/>
  <w:p w:rsidR="002E4597" w:rsidRDefault="002E4597" w:rsidP="00014C20"/>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2E4597" w:rsidP="00B63D12">
    <w:pPr>
      <w:pStyle w:val="IGH"/>
      <w:rPr>
        <w:noProof/>
        <w:lang w:val="es-MX"/>
      </w:rPr>
    </w:pPr>
    <w:r>
      <w:rPr>
        <w:noProof/>
        <w:lang w:val="es-MX"/>
      </w:rPr>
      <w:t>Manejo Integrado de las Aguas Subterráneas en el Acuífero</w:t>
    </w:r>
  </w:p>
  <w:p w:rsidR="002E4597" w:rsidRPr="006D35B9" w:rsidRDefault="002E4597" w:rsidP="00B63D12">
    <w:pPr>
      <w:pStyle w:val="IGH"/>
      <w:rPr>
        <w:lang w:val="es-MX"/>
      </w:rPr>
    </w:pPr>
    <w:r>
      <w:rPr>
        <w:noProof/>
        <w:lang w:val="es-MX"/>
      </w:rPr>
      <w:t>Huamantla-Libres Oriental-Perote, Pue. y Ver.</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2E4597" w:rsidP="00014C20"/>
  <w:p w:rsidR="002E4597" w:rsidRDefault="002E4597" w:rsidP="00014C20"/>
  <w:p w:rsidR="002E4597" w:rsidRDefault="002E4597" w:rsidP="00014C20"/>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597" w:rsidRDefault="002E4597" w:rsidP="00B63D12">
    <w:pPr>
      <w:pStyle w:val="IGH"/>
      <w:rPr>
        <w:noProof/>
        <w:lang w:val="es-MX"/>
      </w:rPr>
    </w:pPr>
    <w:r>
      <w:rPr>
        <w:noProof/>
        <w:lang w:val="es-MX"/>
      </w:rPr>
      <w:t>Manejo Integrado de las Aguas Subterráneas en el Acuífero</w:t>
    </w:r>
  </w:p>
  <w:p w:rsidR="002E4597" w:rsidRPr="006D35B9" w:rsidRDefault="002E4597" w:rsidP="00B63D12">
    <w:pPr>
      <w:pStyle w:val="IGH"/>
      <w:rPr>
        <w:lang w:val="es-MX"/>
      </w:rPr>
    </w:pPr>
    <w:r>
      <w:rPr>
        <w:noProof/>
        <w:lang w:val="es-MX"/>
      </w:rPr>
      <w:t>Huamantla-Libres Oriental-Perote, Pue. y Ver.</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84472"/>
    <w:multiLevelType w:val="multilevel"/>
    <w:tmpl w:val="95B82CDC"/>
    <w:lvl w:ilvl="0">
      <w:start w:val="1"/>
      <w:numFmt w:val="decimal"/>
      <w:pStyle w:val="Tabla1cap14"/>
      <w:suff w:val="space"/>
      <w:lvlText w:val="Tabla 14.%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03BF6CD9"/>
    <w:multiLevelType w:val="hybridMultilevel"/>
    <w:tmpl w:val="A2FAC4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6187193"/>
    <w:multiLevelType w:val="hybridMultilevel"/>
    <w:tmpl w:val="F71A68C0"/>
    <w:lvl w:ilvl="0" w:tplc="4C84C714">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
    <w:nsid w:val="066C1A98"/>
    <w:multiLevelType w:val="multilevel"/>
    <w:tmpl w:val="78586756"/>
    <w:lvl w:ilvl="0">
      <w:start w:val="1"/>
      <w:numFmt w:val="decimal"/>
      <w:pStyle w:val="cuadro1cap1"/>
      <w:suff w:val="space"/>
      <w:lvlText w:val="Cuadro 1.%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
    <w:nsid w:val="07464126"/>
    <w:multiLevelType w:val="hybridMultilevel"/>
    <w:tmpl w:val="964C873A"/>
    <w:lvl w:ilvl="0" w:tplc="E0B2B656">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
    <w:nsid w:val="07F50325"/>
    <w:multiLevelType w:val="multilevel"/>
    <w:tmpl w:val="DDA253D4"/>
    <w:lvl w:ilvl="0">
      <w:start w:val="1"/>
      <w:numFmt w:val="decimal"/>
      <w:pStyle w:val="cuadro1cap5"/>
      <w:suff w:val="space"/>
      <w:lvlText w:val="Cuadro 5.%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94B2E37"/>
    <w:multiLevelType w:val="multilevel"/>
    <w:tmpl w:val="29B69F44"/>
    <w:lvl w:ilvl="0">
      <w:start w:val="1"/>
      <w:numFmt w:val="decimal"/>
      <w:pStyle w:val="figura1cap1"/>
      <w:suff w:val="space"/>
      <w:lvlText w:val="Figura 1.%1"/>
      <w:lvlJc w:val="left"/>
      <w:pPr>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0C4D1467"/>
    <w:multiLevelType w:val="hybridMultilevel"/>
    <w:tmpl w:val="2A1A903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8">
    <w:nsid w:val="0CBE071A"/>
    <w:multiLevelType w:val="multilevel"/>
    <w:tmpl w:val="73D2B902"/>
    <w:lvl w:ilvl="0">
      <w:start w:val="1"/>
      <w:numFmt w:val="decimal"/>
      <w:pStyle w:val="Grafica1cap12"/>
      <w:suff w:val="space"/>
      <w:lvlText w:val="Grafica 12.%1."/>
      <w:lvlJc w:val="left"/>
      <w:pPr>
        <w:ind w:left="357" w:hanging="357"/>
      </w:pPr>
      <w:rPr>
        <w:rFonts w:hint="default"/>
      </w:rPr>
    </w:lvl>
    <w:lvl w:ilvl="1">
      <w:start w:val="1"/>
      <w:numFmt w:val="decimal"/>
      <w:lvlText w:val="%1.%2."/>
      <w:lvlJc w:val="left"/>
      <w:pPr>
        <w:tabs>
          <w:tab w:val="num" w:pos="1364"/>
        </w:tabs>
        <w:ind w:left="1076" w:hanging="432"/>
      </w:pPr>
      <w:rPr>
        <w:rFonts w:hint="default"/>
      </w:rPr>
    </w:lvl>
    <w:lvl w:ilvl="2">
      <w:start w:val="1"/>
      <w:numFmt w:val="decimal"/>
      <w:lvlText w:val="%1.%2.%3."/>
      <w:lvlJc w:val="left"/>
      <w:pPr>
        <w:tabs>
          <w:tab w:val="num" w:pos="2084"/>
        </w:tabs>
        <w:ind w:left="1508" w:hanging="504"/>
      </w:pPr>
      <w:rPr>
        <w:rFonts w:hint="default"/>
      </w:rPr>
    </w:lvl>
    <w:lvl w:ilvl="3">
      <w:start w:val="1"/>
      <w:numFmt w:val="decimal"/>
      <w:lvlText w:val="%1.%2.%3.%4."/>
      <w:lvlJc w:val="left"/>
      <w:pPr>
        <w:tabs>
          <w:tab w:val="num" w:pos="280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884"/>
        </w:tabs>
        <w:ind w:left="3020" w:hanging="936"/>
      </w:pPr>
      <w:rPr>
        <w:rFonts w:hint="default"/>
      </w:rPr>
    </w:lvl>
    <w:lvl w:ilvl="6">
      <w:start w:val="1"/>
      <w:numFmt w:val="decimal"/>
      <w:lvlText w:val="%1.%2.%3.%4.%5.%6.%7."/>
      <w:lvlJc w:val="left"/>
      <w:pPr>
        <w:tabs>
          <w:tab w:val="num" w:pos="4604"/>
        </w:tabs>
        <w:ind w:left="3524" w:hanging="1080"/>
      </w:pPr>
      <w:rPr>
        <w:rFonts w:hint="default"/>
      </w:rPr>
    </w:lvl>
    <w:lvl w:ilvl="7">
      <w:start w:val="1"/>
      <w:numFmt w:val="decimal"/>
      <w:lvlText w:val="%1.%2.%3.%4.%5.%6.%7.%8."/>
      <w:lvlJc w:val="left"/>
      <w:pPr>
        <w:tabs>
          <w:tab w:val="num" w:pos="5324"/>
        </w:tabs>
        <w:ind w:left="4028" w:hanging="1224"/>
      </w:pPr>
      <w:rPr>
        <w:rFonts w:hint="default"/>
      </w:rPr>
    </w:lvl>
    <w:lvl w:ilvl="8">
      <w:start w:val="1"/>
      <w:numFmt w:val="decimal"/>
      <w:lvlText w:val="%1.%2.%3.%4.%5.%6.%7.%8.%9."/>
      <w:lvlJc w:val="left"/>
      <w:pPr>
        <w:tabs>
          <w:tab w:val="num" w:pos="6044"/>
        </w:tabs>
        <w:ind w:left="4604" w:hanging="1440"/>
      </w:pPr>
      <w:rPr>
        <w:rFonts w:hint="default"/>
      </w:rPr>
    </w:lvl>
  </w:abstractNum>
  <w:abstractNum w:abstractNumId="9">
    <w:nsid w:val="0D187C08"/>
    <w:multiLevelType w:val="multilevel"/>
    <w:tmpl w:val="63CC24FE"/>
    <w:lvl w:ilvl="0">
      <w:start w:val="1"/>
      <w:numFmt w:val="decimal"/>
      <w:pStyle w:val="Grafica1cap5"/>
      <w:isLgl/>
      <w:suff w:val="space"/>
      <w:lvlText w:val="Gráfica 5.%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
    <w:nsid w:val="0D617431"/>
    <w:multiLevelType w:val="multilevel"/>
    <w:tmpl w:val="76D89C1C"/>
    <w:lvl w:ilvl="0">
      <w:start w:val="1"/>
      <w:numFmt w:val="decimal"/>
      <w:pStyle w:val="Cuadro1cap14"/>
      <w:suff w:val="space"/>
      <w:lvlText w:val="Cuadro 14.%1."/>
      <w:lvlJc w:val="left"/>
      <w:pPr>
        <w:ind w:left="357" w:hanging="357"/>
      </w:pPr>
      <w:rPr>
        <w:rFonts w:hint="default"/>
      </w:rPr>
    </w:lvl>
    <w:lvl w:ilvl="1">
      <w:start w:val="1"/>
      <w:numFmt w:val="decimal"/>
      <w:lvlText w:val="%1.%2."/>
      <w:lvlJc w:val="left"/>
      <w:pPr>
        <w:tabs>
          <w:tab w:val="num" w:pos="1076"/>
        </w:tabs>
        <w:ind w:left="1076" w:hanging="432"/>
      </w:pPr>
      <w:rPr>
        <w:rFonts w:hint="default"/>
      </w:rPr>
    </w:lvl>
    <w:lvl w:ilvl="2">
      <w:start w:val="1"/>
      <w:numFmt w:val="decimal"/>
      <w:lvlText w:val="%1.%2.%3."/>
      <w:lvlJc w:val="left"/>
      <w:pPr>
        <w:tabs>
          <w:tab w:val="num" w:pos="1508"/>
        </w:tabs>
        <w:ind w:left="1508" w:hanging="504"/>
      </w:pPr>
      <w:rPr>
        <w:rFonts w:hint="default"/>
      </w:rPr>
    </w:lvl>
    <w:lvl w:ilvl="3">
      <w:start w:val="1"/>
      <w:numFmt w:val="decimal"/>
      <w:lvlText w:val="%1.%2.%3.%4."/>
      <w:lvlJc w:val="left"/>
      <w:pPr>
        <w:tabs>
          <w:tab w:val="num" w:pos="2084"/>
        </w:tabs>
        <w:ind w:left="2012" w:hanging="648"/>
      </w:pPr>
      <w:rPr>
        <w:rFonts w:hint="default"/>
      </w:rPr>
    </w:lvl>
    <w:lvl w:ilvl="4">
      <w:start w:val="1"/>
      <w:numFmt w:val="decimal"/>
      <w:lvlText w:val="%1.%2.%3.%4.%5."/>
      <w:lvlJc w:val="left"/>
      <w:pPr>
        <w:tabs>
          <w:tab w:val="num" w:pos="2804"/>
        </w:tabs>
        <w:ind w:left="2516" w:hanging="792"/>
      </w:pPr>
      <w:rPr>
        <w:rFonts w:hint="default"/>
      </w:rPr>
    </w:lvl>
    <w:lvl w:ilvl="5">
      <w:start w:val="1"/>
      <w:numFmt w:val="decimal"/>
      <w:lvlText w:val="%1.%2.%3.%4.%5.%6."/>
      <w:lvlJc w:val="left"/>
      <w:pPr>
        <w:tabs>
          <w:tab w:val="num" w:pos="3164"/>
        </w:tabs>
        <w:ind w:left="3020" w:hanging="936"/>
      </w:pPr>
      <w:rPr>
        <w:rFonts w:hint="default"/>
      </w:rPr>
    </w:lvl>
    <w:lvl w:ilvl="6">
      <w:start w:val="1"/>
      <w:numFmt w:val="decimal"/>
      <w:lvlText w:val="%1.%2.%3.%4.%5.%6.%7."/>
      <w:lvlJc w:val="left"/>
      <w:pPr>
        <w:tabs>
          <w:tab w:val="num" w:pos="3884"/>
        </w:tabs>
        <w:ind w:left="3524" w:hanging="1080"/>
      </w:pPr>
      <w:rPr>
        <w:rFonts w:hint="default"/>
      </w:rPr>
    </w:lvl>
    <w:lvl w:ilvl="7">
      <w:start w:val="1"/>
      <w:numFmt w:val="decimal"/>
      <w:lvlText w:val="%1.%2.%3.%4.%5.%6.%7.%8."/>
      <w:lvlJc w:val="left"/>
      <w:pPr>
        <w:tabs>
          <w:tab w:val="num" w:pos="4244"/>
        </w:tabs>
        <w:ind w:left="4028" w:hanging="1224"/>
      </w:pPr>
      <w:rPr>
        <w:rFonts w:hint="default"/>
      </w:rPr>
    </w:lvl>
    <w:lvl w:ilvl="8">
      <w:start w:val="1"/>
      <w:numFmt w:val="decimal"/>
      <w:lvlText w:val="%1.%2.%3.%4.%5.%6.%7.%8.%9."/>
      <w:lvlJc w:val="left"/>
      <w:pPr>
        <w:tabs>
          <w:tab w:val="num" w:pos="4964"/>
        </w:tabs>
        <w:ind w:left="4604" w:hanging="1440"/>
      </w:pPr>
      <w:rPr>
        <w:rFonts w:hint="default"/>
      </w:rPr>
    </w:lvl>
  </w:abstractNum>
  <w:abstractNum w:abstractNumId="11">
    <w:nsid w:val="0DCE384F"/>
    <w:multiLevelType w:val="hybridMultilevel"/>
    <w:tmpl w:val="3A9CC438"/>
    <w:lvl w:ilvl="0" w:tplc="730613A0">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0E04743A"/>
    <w:multiLevelType w:val="multilevel"/>
    <w:tmpl w:val="B08A2186"/>
    <w:lvl w:ilvl="0">
      <w:start w:val="1"/>
      <w:numFmt w:val="decimal"/>
      <w:pStyle w:val="figura1cap2"/>
      <w:suff w:val="space"/>
      <w:lvlText w:val="Figura 2.%1"/>
      <w:lvlJc w:val="left"/>
      <w:pPr>
        <w:ind w:left="0" w:firstLine="0"/>
      </w:pPr>
      <w:rPr>
        <w:rFonts w:hint="default"/>
      </w:rPr>
    </w:lvl>
    <w:lvl w:ilvl="1">
      <w:start w:val="1"/>
      <w:numFmt w:val="lowerLetter"/>
      <w:suff w:val="space"/>
      <w:lvlText w:val="Figura %1.%2."/>
      <w:lvlJc w:val="left"/>
      <w:pPr>
        <w:ind w:left="360" w:firstLine="0"/>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nsid w:val="0E933D25"/>
    <w:multiLevelType w:val="multilevel"/>
    <w:tmpl w:val="99B8A360"/>
    <w:lvl w:ilvl="0">
      <w:start w:val="1"/>
      <w:numFmt w:val="decimal"/>
      <w:pStyle w:val="Tabla1cap5"/>
      <w:suff w:val="space"/>
      <w:lvlText w:val="Tabla 5.%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
    <w:nsid w:val="10070E7F"/>
    <w:multiLevelType w:val="hybridMultilevel"/>
    <w:tmpl w:val="941EB9A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10595A1A"/>
    <w:multiLevelType w:val="multilevel"/>
    <w:tmpl w:val="7FA20238"/>
    <w:lvl w:ilvl="0">
      <w:start w:val="1"/>
      <w:numFmt w:val="decimal"/>
      <w:pStyle w:val="cuadro1cap7"/>
      <w:suff w:val="space"/>
      <w:lvlText w:val="Cuadro 7.%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nsid w:val="11812E9E"/>
    <w:multiLevelType w:val="multilevel"/>
    <w:tmpl w:val="23F4AFF4"/>
    <w:lvl w:ilvl="0">
      <w:start w:val="1"/>
      <w:numFmt w:val="decimal"/>
      <w:pStyle w:val="Tabla1cap7"/>
      <w:suff w:val="space"/>
      <w:lvlText w:val="Tabla 7.%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
    <w:nsid w:val="11F76251"/>
    <w:multiLevelType w:val="multilevel"/>
    <w:tmpl w:val="3C0261FE"/>
    <w:lvl w:ilvl="0">
      <w:start w:val="1"/>
      <w:numFmt w:val="decimal"/>
      <w:pStyle w:val="Grafica1"/>
      <w:suff w:val="space"/>
      <w:lvlText w:val="Gráfica %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127C4037"/>
    <w:multiLevelType w:val="multilevel"/>
    <w:tmpl w:val="A7EE0180"/>
    <w:lvl w:ilvl="0">
      <w:start w:val="1"/>
      <w:numFmt w:val="decimal"/>
      <w:pStyle w:val="Grafica1cap14"/>
      <w:suff w:val="space"/>
      <w:lvlText w:val="Grafica 14.%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12CC5537"/>
    <w:multiLevelType w:val="hybridMultilevel"/>
    <w:tmpl w:val="47864EFA"/>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0">
    <w:nsid w:val="15FE6C9F"/>
    <w:multiLevelType w:val="hybridMultilevel"/>
    <w:tmpl w:val="9EF6CA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16027E9C"/>
    <w:multiLevelType w:val="multilevel"/>
    <w:tmpl w:val="A2BEE2AA"/>
    <w:lvl w:ilvl="0">
      <w:start w:val="1"/>
      <w:numFmt w:val="decimal"/>
      <w:pStyle w:val="Grafica1cap13"/>
      <w:suff w:val="space"/>
      <w:lvlText w:val="Grafica 1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2">
    <w:nsid w:val="16F312DC"/>
    <w:multiLevelType w:val="multilevel"/>
    <w:tmpl w:val="A19C70C0"/>
    <w:lvl w:ilvl="0">
      <w:start w:val="1"/>
      <w:numFmt w:val="decimal"/>
      <w:pStyle w:val="Tabla1cap4"/>
      <w:suff w:val="space"/>
      <w:lvlText w:val="Tabla 4.%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3">
    <w:nsid w:val="17ED0B9F"/>
    <w:multiLevelType w:val="multilevel"/>
    <w:tmpl w:val="4F223F4E"/>
    <w:lvl w:ilvl="0">
      <w:start w:val="1"/>
      <w:numFmt w:val="decimal"/>
      <w:pStyle w:val="Cuadro1cap9"/>
      <w:suff w:val="space"/>
      <w:lvlText w:val="Cuadro 9.%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18576AA1"/>
    <w:multiLevelType w:val="hybridMultilevel"/>
    <w:tmpl w:val="4DB69BFE"/>
    <w:lvl w:ilvl="0" w:tplc="730613A0">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18B74F8F"/>
    <w:multiLevelType w:val="hybridMultilevel"/>
    <w:tmpl w:val="90601676"/>
    <w:lvl w:ilvl="0" w:tplc="7CEE4C54">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26">
    <w:nsid w:val="19726F13"/>
    <w:multiLevelType w:val="hybridMultilevel"/>
    <w:tmpl w:val="C268A492"/>
    <w:lvl w:ilvl="0" w:tplc="14AC671A">
      <w:start w:val="1"/>
      <w:numFmt w:val="decimal"/>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27">
    <w:nsid w:val="1C191744"/>
    <w:multiLevelType w:val="multilevel"/>
    <w:tmpl w:val="A0E277D2"/>
    <w:lvl w:ilvl="0">
      <w:start w:val="1"/>
      <w:numFmt w:val="decimal"/>
      <w:pStyle w:val="Fotografia1cap2"/>
      <w:isLgl/>
      <w:suff w:val="space"/>
      <w:lvlText w:val="Fotografía 2.%1"/>
      <w:lvlJc w:val="left"/>
      <w:pPr>
        <w:ind w:left="0" w:firstLine="0"/>
      </w:pPr>
      <w:rPr>
        <w:rFonts w:hint="default"/>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1440"/>
        </w:tabs>
        <w:ind w:left="864" w:hanging="504"/>
      </w:pPr>
      <w:rPr>
        <w:rFonts w:hint="default"/>
      </w:rPr>
    </w:lvl>
    <w:lvl w:ilvl="3">
      <w:start w:val="1"/>
      <w:numFmt w:val="decimal"/>
      <w:lvlText w:val="%1.%2.%3.%4."/>
      <w:lvlJc w:val="left"/>
      <w:pPr>
        <w:tabs>
          <w:tab w:val="num" w:pos="2160"/>
        </w:tabs>
        <w:ind w:left="1368" w:hanging="648"/>
      </w:pPr>
      <w:rPr>
        <w:rFonts w:hint="default"/>
      </w:rPr>
    </w:lvl>
    <w:lvl w:ilvl="4">
      <w:start w:val="1"/>
      <w:numFmt w:val="decimal"/>
      <w:lvlText w:val="%1.%2.%3.%4.%5."/>
      <w:lvlJc w:val="left"/>
      <w:pPr>
        <w:tabs>
          <w:tab w:val="num" w:pos="2880"/>
        </w:tabs>
        <w:ind w:left="1872" w:hanging="792"/>
      </w:pPr>
      <w:rPr>
        <w:rFonts w:hint="default"/>
      </w:rPr>
    </w:lvl>
    <w:lvl w:ilvl="5">
      <w:start w:val="1"/>
      <w:numFmt w:val="decimal"/>
      <w:lvlText w:val="%1.%2.%3.%4.%5.%6."/>
      <w:lvlJc w:val="left"/>
      <w:pPr>
        <w:tabs>
          <w:tab w:val="num" w:pos="3600"/>
        </w:tabs>
        <w:ind w:left="2376" w:hanging="936"/>
      </w:pPr>
      <w:rPr>
        <w:rFonts w:hint="default"/>
      </w:rPr>
    </w:lvl>
    <w:lvl w:ilvl="6">
      <w:start w:val="1"/>
      <w:numFmt w:val="decimal"/>
      <w:lvlText w:val="%1.%2.%3.%4.%5.%6.%7."/>
      <w:lvlJc w:val="left"/>
      <w:pPr>
        <w:tabs>
          <w:tab w:val="num" w:pos="4320"/>
        </w:tabs>
        <w:ind w:left="2880" w:hanging="1080"/>
      </w:pPr>
      <w:rPr>
        <w:rFonts w:hint="default"/>
      </w:rPr>
    </w:lvl>
    <w:lvl w:ilvl="7">
      <w:start w:val="1"/>
      <w:numFmt w:val="decimal"/>
      <w:lvlText w:val="%1.%2.%3.%4.%5.%6.%7.%8."/>
      <w:lvlJc w:val="left"/>
      <w:pPr>
        <w:tabs>
          <w:tab w:val="num" w:pos="4680"/>
        </w:tabs>
        <w:ind w:left="3384" w:hanging="1224"/>
      </w:pPr>
      <w:rPr>
        <w:rFonts w:hint="default"/>
      </w:rPr>
    </w:lvl>
    <w:lvl w:ilvl="8">
      <w:start w:val="1"/>
      <w:numFmt w:val="decimal"/>
      <w:lvlText w:val="%1.%2.%3.%4.%5.%6.%7.%8.%9."/>
      <w:lvlJc w:val="left"/>
      <w:pPr>
        <w:tabs>
          <w:tab w:val="num" w:pos="5400"/>
        </w:tabs>
        <w:ind w:left="3960" w:hanging="1440"/>
      </w:pPr>
      <w:rPr>
        <w:rFonts w:hint="default"/>
      </w:rPr>
    </w:lvl>
  </w:abstractNum>
  <w:abstractNum w:abstractNumId="28">
    <w:nsid w:val="1C371048"/>
    <w:multiLevelType w:val="hybridMultilevel"/>
    <w:tmpl w:val="BB4A8318"/>
    <w:lvl w:ilvl="0" w:tplc="080A000F">
      <w:start w:val="1"/>
      <w:numFmt w:val="decimal"/>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1DFF08A5"/>
    <w:multiLevelType w:val="hybridMultilevel"/>
    <w:tmpl w:val="ABD22622"/>
    <w:lvl w:ilvl="0" w:tplc="080A0001">
      <w:start w:val="1"/>
      <w:numFmt w:val="bullet"/>
      <w:lvlText w:val=""/>
      <w:lvlJc w:val="left"/>
      <w:pPr>
        <w:ind w:left="360" w:hanging="360"/>
      </w:pPr>
      <w:rPr>
        <w:rFonts w:ascii="Symbol" w:hAnsi="Symbol" w:hint="default"/>
      </w:rPr>
    </w:lvl>
    <w:lvl w:ilvl="1" w:tplc="080A0001">
      <w:start w:val="1"/>
      <w:numFmt w:val="bullet"/>
      <w:lvlText w:val=""/>
      <w:lvlJc w:val="left"/>
      <w:pPr>
        <w:ind w:left="1080" w:hanging="360"/>
      </w:pPr>
      <w:rPr>
        <w:rFonts w:ascii="Symbol" w:hAnsi="Symbol" w:hint="default"/>
      </w:rPr>
    </w:lvl>
    <w:lvl w:ilvl="2" w:tplc="080A001B">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0">
    <w:nsid w:val="1F2C0ACC"/>
    <w:multiLevelType w:val="multilevel"/>
    <w:tmpl w:val="E2F46932"/>
    <w:lvl w:ilvl="0">
      <w:start w:val="1"/>
      <w:numFmt w:val="decimal"/>
      <w:pStyle w:val="Figura1cap11"/>
      <w:suff w:val="space"/>
      <w:lvlText w:val="Figura 11.%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21003646"/>
    <w:multiLevelType w:val="hybridMultilevel"/>
    <w:tmpl w:val="C6DEA73C"/>
    <w:lvl w:ilvl="0" w:tplc="080A0017">
      <w:start w:val="1"/>
      <w:numFmt w:val="lowerLetter"/>
      <w:lvlText w:val="%1)"/>
      <w:lvlJc w:val="left"/>
      <w:pPr>
        <w:ind w:left="1004" w:hanging="360"/>
      </w:pPr>
      <w:rPr>
        <w:rFonts w:hint="default"/>
      </w:rPr>
    </w:lvl>
    <w:lvl w:ilvl="1" w:tplc="080A0019">
      <w:start w:val="1"/>
      <w:numFmt w:val="lowerLetter"/>
      <w:lvlText w:val="%2."/>
      <w:lvlJc w:val="left"/>
      <w:pPr>
        <w:ind w:left="1724" w:hanging="360"/>
      </w:pPr>
    </w:lvl>
    <w:lvl w:ilvl="2" w:tplc="080A001B">
      <w:start w:val="1"/>
      <w:numFmt w:val="lowerRoman"/>
      <w:lvlText w:val="%3."/>
      <w:lvlJc w:val="right"/>
      <w:pPr>
        <w:ind w:left="2444" w:hanging="180"/>
      </w:pPr>
    </w:lvl>
    <w:lvl w:ilvl="3" w:tplc="080A000F">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2">
    <w:nsid w:val="211141C5"/>
    <w:multiLevelType w:val="multilevel"/>
    <w:tmpl w:val="51720A7A"/>
    <w:lvl w:ilvl="0">
      <w:start w:val="1"/>
      <w:numFmt w:val="decimal"/>
      <w:pStyle w:val="figura1cap9"/>
      <w:suff w:val="space"/>
      <w:lvlText w:val="Figura 9.%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222642FB"/>
    <w:multiLevelType w:val="multilevel"/>
    <w:tmpl w:val="C9BE1FF4"/>
    <w:lvl w:ilvl="0">
      <w:start w:val="1"/>
      <w:numFmt w:val="decimal"/>
      <w:pStyle w:val="Figura1cap14"/>
      <w:suff w:val="space"/>
      <w:lvlText w:val="Figura 14.%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nsid w:val="2368181E"/>
    <w:multiLevelType w:val="hybridMultilevel"/>
    <w:tmpl w:val="E9BA0874"/>
    <w:lvl w:ilvl="0" w:tplc="0C0A000D">
      <w:start w:val="1"/>
      <w:numFmt w:val="bullet"/>
      <w:lvlText w:val=""/>
      <w:lvlJc w:val="left"/>
      <w:pPr>
        <w:ind w:left="1800" w:hanging="360"/>
      </w:pPr>
      <w:rPr>
        <w:rFonts w:ascii="Wingdings" w:hAnsi="Wingdings"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35">
    <w:nsid w:val="23BD5558"/>
    <w:multiLevelType w:val="multilevel"/>
    <w:tmpl w:val="68AAB9E8"/>
    <w:lvl w:ilvl="0">
      <w:start w:val="1"/>
      <w:numFmt w:val="decimal"/>
      <w:pStyle w:val="Cuadro1cap4"/>
      <w:suff w:val="space"/>
      <w:lvlText w:val="Cuadro 4.%1 "/>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6">
    <w:nsid w:val="23E82B31"/>
    <w:multiLevelType w:val="hybridMultilevel"/>
    <w:tmpl w:val="BC6897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23E83742"/>
    <w:multiLevelType w:val="multilevel"/>
    <w:tmpl w:val="63D0A80E"/>
    <w:lvl w:ilvl="0">
      <w:start w:val="1"/>
      <w:numFmt w:val="decimal"/>
      <w:pStyle w:val="Grafica1cap10"/>
      <w:isLgl/>
      <w:suff w:val="space"/>
      <w:lvlText w:val="Gráfica 10.%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8">
    <w:nsid w:val="264859F6"/>
    <w:multiLevelType w:val="hybridMultilevel"/>
    <w:tmpl w:val="03344174"/>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39">
    <w:nsid w:val="26F67408"/>
    <w:multiLevelType w:val="multilevel"/>
    <w:tmpl w:val="2F9CE0A8"/>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279D7D41"/>
    <w:multiLevelType w:val="hybridMultilevel"/>
    <w:tmpl w:val="7DA0DBDE"/>
    <w:lvl w:ilvl="0" w:tplc="C7383D98">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41">
    <w:nsid w:val="28685904"/>
    <w:multiLevelType w:val="multilevel"/>
    <w:tmpl w:val="760C0918"/>
    <w:lvl w:ilvl="0">
      <w:start w:val="1"/>
      <w:numFmt w:val="decimal"/>
      <w:pStyle w:val="Figura1cap15"/>
      <w:suff w:val="space"/>
      <w:lvlText w:val="Figura 15.%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28765F22"/>
    <w:multiLevelType w:val="hybridMultilevel"/>
    <w:tmpl w:val="B89A8ACE"/>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43">
    <w:nsid w:val="28EE5EAF"/>
    <w:multiLevelType w:val="hybridMultilevel"/>
    <w:tmpl w:val="30DCBE5A"/>
    <w:lvl w:ilvl="0" w:tplc="080A0001">
      <w:start w:val="1"/>
      <w:numFmt w:val="bullet"/>
      <w:lvlText w:val=""/>
      <w:lvlJc w:val="left"/>
      <w:pPr>
        <w:ind w:left="1004" w:hanging="360"/>
      </w:pPr>
      <w:rPr>
        <w:rFonts w:ascii="Symbol" w:hAnsi="Symbol" w:hint="default"/>
      </w:rPr>
    </w:lvl>
    <w:lvl w:ilvl="1" w:tplc="080A0003">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44">
    <w:nsid w:val="2A5716B8"/>
    <w:multiLevelType w:val="hybridMultilevel"/>
    <w:tmpl w:val="3202C784"/>
    <w:lvl w:ilvl="0" w:tplc="AF48DB00">
      <w:start w:val="1"/>
      <w:numFmt w:val="decimal"/>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45">
    <w:nsid w:val="2AF820D4"/>
    <w:multiLevelType w:val="hybridMultilevel"/>
    <w:tmpl w:val="43709D18"/>
    <w:lvl w:ilvl="0" w:tplc="080A000F">
      <w:start w:val="1"/>
      <w:numFmt w:val="decimal"/>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6">
    <w:nsid w:val="2C126B8C"/>
    <w:multiLevelType w:val="multilevel"/>
    <w:tmpl w:val="898A0B74"/>
    <w:lvl w:ilvl="0">
      <w:start w:val="1"/>
      <w:numFmt w:val="decimal"/>
      <w:pStyle w:val="Grafica1cap8"/>
      <w:suff w:val="space"/>
      <w:lvlText w:val="Gráfica 8.%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2CC377C6"/>
    <w:multiLevelType w:val="multilevel"/>
    <w:tmpl w:val="4FC0E80E"/>
    <w:lvl w:ilvl="0">
      <w:start w:val="1"/>
      <w:numFmt w:val="decimal"/>
      <w:lvlText w:val="(%1."/>
      <w:lvlJc w:val="left"/>
      <w:pPr>
        <w:ind w:left="630" w:hanging="630"/>
      </w:pPr>
      <w:rPr>
        <w:rFonts w:hint="default"/>
      </w:rPr>
    </w:lvl>
    <w:lvl w:ilvl="1">
      <w:start w:val="2"/>
      <w:numFmt w:val="decimal"/>
      <w:lvlText w:val="(%1.%2."/>
      <w:lvlJc w:val="left"/>
      <w:pPr>
        <w:ind w:left="862" w:hanging="720"/>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48">
    <w:nsid w:val="2D3B607D"/>
    <w:multiLevelType w:val="multilevel"/>
    <w:tmpl w:val="A8F2C758"/>
    <w:lvl w:ilvl="0">
      <w:start w:val="1"/>
      <w:numFmt w:val="decimal"/>
      <w:pStyle w:val="tabla1cap1"/>
      <w:suff w:val="space"/>
      <w:lvlText w:val="Tabla 1.%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2DA95A5C"/>
    <w:multiLevelType w:val="multilevel"/>
    <w:tmpl w:val="7646C570"/>
    <w:lvl w:ilvl="0">
      <w:start w:val="1"/>
      <w:numFmt w:val="decimal"/>
      <w:pStyle w:val="Grafica1cap9"/>
      <w:isLgl/>
      <w:suff w:val="space"/>
      <w:lvlText w:val="Gráfica 9.%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0">
    <w:nsid w:val="2E1504F9"/>
    <w:multiLevelType w:val="hybridMultilevel"/>
    <w:tmpl w:val="E0DE5B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2FBD1064"/>
    <w:multiLevelType w:val="multilevel"/>
    <w:tmpl w:val="62BC4D9C"/>
    <w:lvl w:ilvl="0">
      <w:start w:val="1"/>
      <w:numFmt w:val="decimal"/>
      <w:pStyle w:val="Fotografia1cap5"/>
      <w:suff w:val="space"/>
      <w:lvlText w:val="Fotografía 5.%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30112D08"/>
    <w:multiLevelType w:val="multilevel"/>
    <w:tmpl w:val="97F63438"/>
    <w:lvl w:ilvl="0">
      <w:start w:val="1"/>
      <w:numFmt w:val="decimal"/>
      <w:pStyle w:val="Fotografia1cap4"/>
      <w:suff w:val="space"/>
      <w:lvlText w:val="Fotografia 4.%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323F5AED"/>
    <w:multiLevelType w:val="multilevel"/>
    <w:tmpl w:val="87D0B4D8"/>
    <w:lvl w:ilvl="0">
      <w:start w:val="1"/>
      <w:numFmt w:val="decimal"/>
      <w:pStyle w:val="Cuadro1cap12"/>
      <w:suff w:val="space"/>
      <w:lvlText w:val="Cuadro 12.%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32B17B34"/>
    <w:multiLevelType w:val="multilevel"/>
    <w:tmpl w:val="7264CC88"/>
    <w:lvl w:ilvl="0">
      <w:start w:val="1"/>
      <w:numFmt w:val="decimal"/>
      <w:pStyle w:val="Fotografia1cap3"/>
      <w:isLgl/>
      <w:suff w:val="space"/>
      <w:lvlText w:val="Fotografía 3.%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nsid w:val="338D7587"/>
    <w:multiLevelType w:val="multilevel"/>
    <w:tmpl w:val="D8A4B4D8"/>
    <w:lvl w:ilvl="0">
      <w:start w:val="1"/>
      <w:numFmt w:val="decimal"/>
      <w:pStyle w:val="figura1cap10"/>
      <w:suff w:val="space"/>
      <w:lvlText w:val="Figura 10.%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34100955"/>
    <w:multiLevelType w:val="hybridMultilevel"/>
    <w:tmpl w:val="7408EFBA"/>
    <w:lvl w:ilvl="0" w:tplc="080A001B">
      <w:start w:val="1"/>
      <w:numFmt w:val="lowerRoman"/>
      <w:lvlText w:val="%1."/>
      <w:lvlJc w:val="righ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35E96BE7"/>
    <w:multiLevelType w:val="hybridMultilevel"/>
    <w:tmpl w:val="4E6E494A"/>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8">
    <w:nsid w:val="37D76E43"/>
    <w:multiLevelType w:val="multilevel"/>
    <w:tmpl w:val="52A2A68A"/>
    <w:lvl w:ilvl="0">
      <w:start w:val="1"/>
      <w:numFmt w:val="decimal"/>
      <w:pStyle w:val="Grafica1cap11"/>
      <w:suff w:val="space"/>
      <w:lvlText w:val="Grafica 11.%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38570E5E"/>
    <w:multiLevelType w:val="hybridMultilevel"/>
    <w:tmpl w:val="C16CDF28"/>
    <w:lvl w:ilvl="0" w:tplc="9B4051B4">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60">
    <w:nsid w:val="3966325F"/>
    <w:multiLevelType w:val="multilevel"/>
    <w:tmpl w:val="F2BCAABA"/>
    <w:lvl w:ilvl="0">
      <w:start w:val="1"/>
      <w:numFmt w:val="decimal"/>
      <w:pStyle w:val="tabla1cap11"/>
      <w:suff w:val="space"/>
      <w:lvlText w:val="Tabla 11.%1."/>
      <w:lvlJc w:val="left"/>
      <w:pPr>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61">
    <w:nsid w:val="3A156A95"/>
    <w:multiLevelType w:val="hybridMultilevel"/>
    <w:tmpl w:val="6C5A46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3A435F53"/>
    <w:multiLevelType w:val="multilevel"/>
    <w:tmpl w:val="627CA822"/>
    <w:lvl w:ilvl="0">
      <w:start w:val="1"/>
      <w:numFmt w:val="decimal"/>
      <w:pStyle w:val="Figura1"/>
      <w:suff w:val="space"/>
      <w:lvlText w:val="Figura %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3B394058"/>
    <w:multiLevelType w:val="multilevel"/>
    <w:tmpl w:val="F87428B4"/>
    <w:lvl w:ilvl="0">
      <w:start w:val="1"/>
      <w:numFmt w:val="decimal"/>
      <w:pStyle w:val="Tabla1cap10"/>
      <w:suff w:val="space"/>
      <w:lvlText w:val="Tabla 10.%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4">
    <w:nsid w:val="3C95536E"/>
    <w:multiLevelType w:val="multilevel"/>
    <w:tmpl w:val="41105B82"/>
    <w:lvl w:ilvl="0">
      <w:start w:val="1"/>
      <w:numFmt w:val="decimal"/>
      <w:pStyle w:val="Fotografia1cap1"/>
      <w:isLgl/>
      <w:suff w:val="space"/>
      <w:lvlText w:val="Fotografía 1.%1"/>
      <w:lvlJc w:val="left"/>
      <w:pPr>
        <w:ind w:left="0" w:firstLine="0"/>
      </w:pPr>
      <w:rPr>
        <w:rFonts w:hint="default"/>
      </w:rPr>
    </w:lvl>
    <w:lvl w:ilvl="1">
      <w:start w:val="1"/>
      <w:numFmt w:val="decimal"/>
      <w:isLgl/>
      <w:suff w:val="space"/>
      <w:lvlText w:val="Fotografía %1.%2."/>
      <w:lvlJc w:val="left"/>
      <w:pPr>
        <w:ind w:left="0"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3CAA1029"/>
    <w:multiLevelType w:val="multilevel"/>
    <w:tmpl w:val="5F220516"/>
    <w:lvl w:ilvl="0">
      <w:start w:val="1"/>
      <w:numFmt w:val="decimal"/>
      <w:pStyle w:val="Cuadro1cap15"/>
      <w:suff w:val="space"/>
      <w:lvlText w:val="Cuadro 15.%1."/>
      <w:lvlJc w:val="left"/>
      <w:pPr>
        <w:ind w:left="357" w:hanging="357"/>
      </w:pPr>
      <w:rPr>
        <w:rFonts w:hint="default"/>
      </w:rPr>
    </w:lvl>
    <w:lvl w:ilvl="1">
      <w:start w:val="1"/>
      <w:numFmt w:val="decimal"/>
      <w:lvlText w:val="%1.%2."/>
      <w:lvlJc w:val="left"/>
      <w:pPr>
        <w:tabs>
          <w:tab w:val="num" w:pos="1364"/>
        </w:tabs>
        <w:ind w:left="1076" w:hanging="432"/>
      </w:pPr>
      <w:rPr>
        <w:rFonts w:hint="default"/>
      </w:rPr>
    </w:lvl>
    <w:lvl w:ilvl="2">
      <w:start w:val="1"/>
      <w:numFmt w:val="decimal"/>
      <w:lvlText w:val="%1.%2.%3."/>
      <w:lvlJc w:val="left"/>
      <w:pPr>
        <w:tabs>
          <w:tab w:val="num" w:pos="2084"/>
        </w:tabs>
        <w:ind w:left="1508" w:hanging="504"/>
      </w:pPr>
      <w:rPr>
        <w:rFonts w:hint="default"/>
      </w:rPr>
    </w:lvl>
    <w:lvl w:ilvl="3">
      <w:start w:val="1"/>
      <w:numFmt w:val="decimal"/>
      <w:lvlText w:val="%1.%2.%3.%4."/>
      <w:lvlJc w:val="left"/>
      <w:pPr>
        <w:tabs>
          <w:tab w:val="num" w:pos="280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884"/>
        </w:tabs>
        <w:ind w:left="3020" w:hanging="936"/>
      </w:pPr>
      <w:rPr>
        <w:rFonts w:hint="default"/>
      </w:rPr>
    </w:lvl>
    <w:lvl w:ilvl="6">
      <w:start w:val="1"/>
      <w:numFmt w:val="decimal"/>
      <w:lvlText w:val="%1.%2.%3.%4.%5.%6.%7."/>
      <w:lvlJc w:val="left"/>
      <w:pPr>
        <w:tabs>
          <w:tab w:val="num" w:pos="4604"/>
        </w:tabs>
        <w:ind w:left="3524" w:hanging="1080"/>
      </w:pPr>
      <w:rPr>
        <w:rFonts w:hint="default"/>
      </w:rPr>
    </w:lvl>
    <w:lvl w:ilvl="7">
      <w:start w:val="1"/>
      <w:numFmt w:val="decimal"/>
      <w:lvlText w:val="%1.%2.%3.%4.%5.%6.%7.%8."/>
      <w:lvlJc w:val="left"/>
      <w:pPr>
        <w:tabs>
          <w:tab w:val="num" w:pos="5324"/>
        </w:tabs>
        <w:ind w:left="4028" w:hanging="1224"/>
      </w:pPr>
      <w:rPr>
        <w:rFonts w:hint="default"/>
      </w:rPr>
    </w:lvl>
    <w:lvl w:ilvl="8">
      <w:start w:val="1"/>
      <w:numFmt w:val="decimal"/>
      <w:lvlText w:val="%1.%2.%3.%4.%5.%6.%7.%8.%9."/>
      <w:lvlJc w:val="left"/>
      <w:pPr>
        <w:tabs>
          <w:tab w:val="num" w:pos="6044"/>
        </w:tabs>
        <w:ind w:left="4604" w:hanging="1440"/>
      </w:pPr>
      <w:rPr>
        <w:rFonts w:hint="default"/>
      </w:rPr>
    </w:lvl>
  </w:abstractNum>
  <w:abstractNum w:abstractNumId="66">
    <w:nsid w:val="3D301F9D"/>
    <w:multiLevelType w:val="multilevel"/>
    <w:tmpl w:val="0B6EE97E"/>
    <w:lvl w:ilvl="0">
      <w:start w:val="1"/>
      <w:numFmt w:val="decimal"/>
      <w:pStyle w:val="Grafica1cap1"/>
      <w:isLgl/>
      <w:suff w:val="space"/>
      <w:lvlText w:val="Gráfica 1.%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40AB1207"/>
    <w:multiLevelType w:val="multilevel"/>
    <w:tmpl w:val="4A865E78"/>
    <w:lvl w:ilvl="0">
      <w:start w:val="1"/>
      <w:numFmt w:val="decimal"/>
      <w:pStyle w:val="Tabla1cap13"/>
      <w:suff w:val="space"/>
      <w:lvlText w:val="Tabla 1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411E5833"/>
    <w:multiLevelType w:val="hybridMultilevel"/>
    <w:tmpl w:val="CF1287A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69">
    <w:nsid w:val="417564B4"/>
    <w:multiLevelType w:val="multilevel"/>
    <w:tmpl w:val="D778B5D4"/>
    <w:lvl w:ilvl="0">
      <w:start w:val="1"/>
      <w:numFmt w:val="decimal"/>
      <w:pStyle w:val="cuadro1cap2"/>
      <w:suff w:val="space"/>
      <w:lvlText w:val="Cuadro 2.%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41FA5B07"/>
    <w:multiLevelType w:val="multilevel"/>
    <w:tmpl w:val="6CAC5ECE"/>
    <w:lvl w:ilvl="0">
      <w:start w:val="1"/>
      <w:numFmt w:val="decimal"/>
      <w:pStyle w:val="Figura1cap13"/>
      <w:suff w:val="space"/>
      <w:lvlText w:val="Figura 1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1">
    <w:nsid w:val="4400663D"/>
    <w:multiLevelType w:val="hybridMultilevel"/>
    <w:tmpl w:val="10A85E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47746F1"/>
    <w:multiLevelType w:val="hybridMultilevel"/>
    <w:tmpl w:val="3238EC12"/>
    <w:lvl w:ilvl="0" w:tplc="AD7ABDFE">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73">
    <w:nsid w:val="46795BCD"/>
    <w:multiLevelType w:val="hybridMultilevel"/>
    <w:tmpl w:val="240E7200"/>
    <w:lvl w:ilvl="0" w:tplc="7AB29592">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469B5A8A"/>
    <w:multiLevelType w:val="multilevel"/>
    <w:tmpl w:val="A59AB168"/>
    <w:lvl w:ilvl="0">
      <w:start w:val="1"/>
      <w:numFmt w:val="decimal"/>
      <w:pStyle w:val="tabla1cap8"/>
      <w:suff w:val="space"/>
      <w:lvlText w:val="Tabla 8.%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nsid w:val="481211EB"/>
    <w:multiLevelType w:val="multilevel"/>
    <w:tmpl w:val="53984C36"/>
    <w:lvl w:ilvl="0">
      <w:start w:val="1"/>
      <w:numFmt w:val="decimal"/>
      <w:pStyle w:val="Grafica1cap2"/>
      <w:isLgl/>
      <w:suff w:val="space"/>
      <w:lvlText w:val="Grafica 2.%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nsid w:val="485778DE"/>
    <w:multiLevelType w:val="multilevel"/>
    <w:tmpl w:val="5114F1F2"/>
    <w:lvl w:ilvl="0">
      <w:start w:val="1"/>
      <w:numFmt w:val="decimal"/>
      <w:pStyle w:val="Figura1cap12"/>
      <w:suff w:val="space"/>
      <w:lvlText w:val="Figura 12.%1."/>
      <w:lvlJc w:val="left"/>
      <w:pPr>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7">
    <w:nsid w:val="499E72AF"/>
    <w:multiLevelType w:val="multilevel"/>
    <w:tmpl w:val="CC5EE94C"/>
    <w:lvl w:ilvl="0">
      <w:start w:val="1"/>
      <w:numFmt w:val="decimal"/>
      <w:pStyle w:val="Fotografia1cap14"/>
      <w:suff w:val="space"/>
      <w:lvlText w:val="Fotografía 14.%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8">
    <w:nsid w:val="4B9E3FD4"/>
    <w:multiLevelType w:val="multilevel"/>
    <w:tmpl w:val="E1A03FEA"/>
    <w:lvl w:ilvl="0">
      <w:start w:val="1"/>
      <w:numFmt w:val="decimal"/>
      <w:pStyle w:val="Cuadro1cap10"/>
      <w:suff w:val="space"/>
      <w:lvlText w:val="Cuadro 10.%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9">
    <w:nsid w:val="4C7153B3"/>
    <w:multiLevelType w:val="multilevel"/>
    <w:tmpl w:val="9BA48792"/>
    <w:lvl w:ilvl="0">
      <w:start w:val="1"/>
      <w:numFmt w:val="decimal"/>
      <w:pStyle w:val="Tabla1cap2"/>
      <w:suff w:val="space"/>
      <w:lvlText w:val="Tabla 2.%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0">
    <w:nsid w:val="4F106E54"/>
    <w:multiLevelType w:val="multilevel"/>
    <w:tmpl w:val="349A5C5C"/>
    <w:lvl w:ilvl="0">
      <w:start w:val="1"/>
      <w:numFmt w:val="decimal"/>
      <w:pStyle w:val="Fotografia1cap11"/>
      <w:suff w:val="space"/>
      <w:lvlText w:val="Fotografía 11.%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1">
    <w:nsid w:val="51EB6196"/>
    <w:multiLevelType w:val="hybridMultilevel"/>
    <w:tmpl w:val="29F61A82"/>
    <w:lvl w:ilvl="0" w:tplc="080A000F">
      <w:start w:val="1"/>
      <w:numFmt w:val="decimal"/>
      <w:lvlText w:val="%1."/>
      <w:lvlJc w:val="left"/>
      <w:pPr>
        <w:ind w:left="360" w:hanging="360"/>
      </w:pPr>
      <w:rPr>
        <w:rFont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2">
    <w:nsid w:val="52277469"/>
    <w:multiLevelType w:val="hybridMultilevel"/>
    <w:tmpl w:val="790C3794"/>
    <w:lvl w:ilvl="0" w:tplc="080A000F">
      <w:start w:val="1"/>
      <w:numFmt w:val="decimal"/>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83">
    <w:nsid w:val="52A72024"/>
    <w:multiLevelType w:val="multilevel"/>
    <w:tmpl w:val="889AFDD2"/>
    <w:lvl w:ilvl="0">
      <w:start w:val="1"/>
      <w:numFmt w:val="decimal"/>
      <w:pStyle w:val="Grafica1cap15"/>
      <w:suff w:val="space"/>
      <w:lvlText w:val="Gráfica 15.%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nsid w:val="52F26053"/>
    <w:multiLevelType w:val="multilevel"/>
    <w:tmpl w:val="67B6124C"/>
    <w:lvl w:ilvl="0">
      <w:start w:val="1"/>
      <w:numFmt w:val="decimal"/>
      <w:pStyle w:val="figura1cap4"/>
      <w:suff w:val="space"/>
      <w:lvlText w:val="Figura 4.%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5">
    <w:nsid w:val="544B79ED"/>
    <w:multiLevelType w:val="multilevel"/>
    <w:tmpl w:val="0328715A"/>
    <w:lvl w:ilvl="0">
      <w:start w:val="1"/>
      <w:numFmt w:val="decimal"/>
      <w:pStyle w:val="cuadro1cap6"/>
      <w:suff w:val="space"/>
      <w:lvlText w:val="Cuadro 6.%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56030905"/>
    <w:multiLevelType w:val="hybridMultilevel"/>
    <w:tmpl w:val="78FA7D74"/>
    <w:lvl w:ilvl="0" w:tplc="9B4051B4">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87">
    <w:nsid w:val="57790416"/>
    <w:multiLevelType w:val="hybridMultilevel"/>
    <w:tmpl w:val="FCA4D3D4"/>
    <w:lvl w:ilvl="0" w:tplc="080A0001">
      <w:start w:val="1"/>
      <w:numFmt w:val="bullet"/>
      <w:lvlText w:val=""/>
      <w:lvlJc w:val="left"/>
      <w:pPr>
        <w:ind w:left="1724" w:hanging="360"/>
      </w:pPr>
      <w:rPr>
        <w:rFonts w:ascii="Symbol" w:hAnsi="Symbol" w:hint="default"/>
      </w:rPr>
    </w:lvl>
    <w:lvl w:ilvl="1" w:tplc="080A0003">
      <w:start w:val="1"/>
      <w:numFmt w:val="bullet"/>
      <w:lvlText w:val="o"/>
      <w:lvlJc w:val="left"/>
      <w:pPr>
        <w:ind w:left="2444" w:hanging="360"/>
      </w:pPr>
      <w:rPr>
        <w:rFonts w:ascii="Courier New" w:hAnsi="Courier New" w:cs="Courier New" w:hint="default"/>
      </w:rPr>
    </w:lvl>
    <w:lvl w:ilvl="2" w:tplc="080A0005" w:tentative="1">
      <w:start w:val="1"/>
      <w:numFmt w:val="bullet"/>
      <w:lvlText w:val=""/>
      <w:lvlJc w:val="left"/>
      <w:pPr>
        <w:ind w:left="3164" w:hanging="360"/>
      </w:pPr>
      <w:rPr>
        <w:rFonts w:ascii="Wingdings" w:hAnsi="Wingdings" w:hint="default"/>
      </w:rPr>
    </w:lvl>
    <w:lvl w:ilvl="3" w:tplc="080A0001" w:tentative="1">
      <w:start w:val="1"/>
      <w:numFmt w:val="bullet"/>
      <w:lvlText w:val=""/>
      <w:lvlJc w:val="left"/>
      <w:pPr>
        <w:ind w:left="3884" w:hanging="360"/>
      </w:pPr>
      <w:rPr>
        <w:rFonts w:ascii="Symbol" w:hAnsi="Symbol" w:hint="default"/>
      </w:rPr>
    </w:lvl>
    <w:lvl w:ilvl="4" w:tplc="080A0003" w:tentative="1">
      <w:start w:val="1"/>
      <w:numFmt w:val="bullet"/>
      <w:lvlText w:val="o"/>
      <w:lvlJc w:val="left"/>
      <w:pPr>
        <w:ind w:left="4604" w:hanging="360"/>
      </w:pPr>
      <w:rPr>
        <w:rFonts w:ascii="Courier New" w:hAnsi="Courier New" w:cs="Courier New" w:hint="default"/>
      </w:rPr>
    </w:lvl>
    <w:lvl w:ilvl="5" w:tplc="080A0005" w:tentative="1">
      <w:start w:val="1"/>
      <w:numFmt w:val="bullet"/>
      <w:lvlText w:val=""/>
      <w:lvlJc w:val="left"/>
      <w:pPr>
        <w:ind w:left="5324" w:hanging="360"/>
      </w:pPr>
      <w:rPr>
        <w:rFonts w:ascii="Wingdings" w:hAnsi="Wingdings" w:hint="default"/>
      </w:rPr>
    </w:lvl>
    <w:lvl w:ilvl="6" w:tplc="080A0001" w:tentative="1">
      <w:start w:val="1"/>
      <w:numFmt w:val="bullet"/>
      <w:lvlText w:val=""/>
      <w:lvlJc w:val="left"/>
      <w:pPr>
        <w:ind w:left="6044" w:hanging="360"/>
      </w:pPr>
      <w:rPr>
        <w:rFonts w:ascii="Symbol" w:hAnsi="Symbol" w:hint="default"/>
      </w:rPr>
    </w:lvl>
    <w:lvl w:ilvl="7" w:tplc="080A0003" w:tentative="1">
      <w:start w:val="1"/>
      <w:numFmt w:val="bullet"/>
      <w:lvlText w:val="o"/>
      <w:lvlJc w:val="left"/>
      <w:pPr>
        <w:ind w:left="6764" w:hanging="360"/>
      </w:pPr>
      <w:rPr>
        <w:rFonts w:ascii="Courier New" w:hAnsi="Courier New" w:cs="Courier New" w:hint="default"/>
      </w:rPr>
    </w:lvl>
    <w:lvl w:ilvl="8" w:tplc="080A0005" w:tentative="1">
      <w:start w:val="1"/>
      <w:numFmt w:val="bullet"/>
      <w:lvlText w:val=""/>
      <w:lvlJc w:val="left"/>
      <w:pPr>
        <w:ind w:left="7484" w:hanging="360"/>
      </w:pPr>
      <w:rPr>
        <w:rFonts w:ascii="Wingdings" w:hAnsi="Wingdings" w:hint="default"/>
      </w:rPr>
    </w:lvl>
  </w:abstractNum>
  <w:abstractNum w:abstractNumId="88">
    <w:nsid w:val="578E2AF9"/>
    <w:multiLevelType w:val="hybridMultilevel"/>
    <w:tmpl w:val="848EB6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9">
    <w:nsid w:val="57D67843"/>
    <w:multiLevelType w:val="multilevel"/>
    <w:tmpl w:val="9B6ACC3C"/>
    <w:lvl w:ilvl="0">
      <w:start w:val="1"/>
      <w:numFmt w:val="decimal"/>
      <w:pStyle w:val="Cuadro1cap11"/>
      <w:suff w:val="space"/>
      <w:lvlText w:val="Cuadro 11.%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59014EAE"/>
    <w:multiLevelType w:val="multilevel"/>
    <w:tmpl w:val="630406FE"/>
    <w:lvl w:ilvl="0">
      <w:start w:val="1"/>
      <w:numFmt w:val="decimal"/>
      <w:pStyle w:val="Tabla15cap1"/>
      <w:suff w:val="space"/>
      <w:lvlText w:val="Tabla 15.%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59D57E01"/>
    <w:multiLevelType w:val="multilevel"/>
    <w:tmpl w:val="D06C37FA"/>
    <w:lvl w:ilvl="0">
      <w:start w:val="1"/>
      <w:numFmt w:val="decimal"/>
      <w:pStyle w:val="Fotografa1cap7"/>
      <w:suff w:val="space"/>
      <w:lvlText w:val="Fotografía 7.%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5A925323"/>
    <w:multiLevelType w:val="hybridMultilevel"/>
    <w:tmpl w:val="5824D276"/>
    <w:lvl w:ilvl="0" w:tplc="080A000F">
      <w:start w:val="1"/>
      <w:numFmt w:val="decimal"/>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3">
    <w:nsid w:val="5CED3A6C"/>
    <w:multiLevelType w:val="multilevel"/>
    <w:tmpl w:val="BBFC3668"/>
    <w:lvl w:ilvl="0">
      <w:start w:val="1"/>
      <w:numFmt w:val="decimal"/>
      <w:pStyle w:val="Tabla1cap12"/>
      <w:suff w:val="space"/>
      <w:lvlText w:val="Tabla 12.%1."/>
      <w:lvlJc w:val="left"/>
      <w:pPr>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4">
    <w:nsid w:val="5D100459"/>
    <w:multiLevelType w:val="multilevel"/>
    <w:tmpl w:val="0B9CC34E"/>
    <w:lvl w:ilvl="0">
      <w:start w:val="1"/>
      <w:numFmt w:val="decimal"/>
      <w:pStyle w:val="cuadro1cap8"/>
      <w:suff w:val="space"/>
      <w:lvlText w:val="Cuadro 8.%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5D960C95"/>
    <w:multiLevelType w:val="hybridMultilevel"/>
    <w:tmpl w:val="D75C92F2"/>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96">
    <w:nsid w:val="5DC64646"/>
    <w:multiLevelType w:val="multilevel"/>
    <w:tmpl w:val="395E5C94"/>
    <w:lvl w:ilvl="0">
      <w:start w:val="1"/>
      <w:numFmt w:val="decimal"/>
      <w:pStyle w:val="figura1cap6"/>
      <w:suff w:val="space"/>
      <w:lvlText w:val="Figura 6.%1"/>
      <w:lvlJc w:val="left"/>
      <w:pPr>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7">
    <w:nsid w:val="5E2169FC"/>
    <w:multiLevelType w:val="hybridMultilevel"/>
    <w:tmpl w:val="718C93E6"/>
    <w:lvl w:ilvl="0" w:tplc="080A0001">
      <w:start w:val="1"/>
      <w:numFmt w:val="bullet"/>
      <w:lvlText w:val=""/>
      <w:lvlJc w:val="left"/>
      <w:pPr>
        <w:ind w:left="1004" w:hanging="360"/>
      </w:pPr>
      <w:rPr>
        <w:rFonts w:ascii="Symbol" w:hAnsi="Symbol" w:hint="default"/>
      </w:rPr>
    </w:lvl>
    <w:lvl w:ilvl="1" w:tplc="080A0019">
      <w:start w:val="1"/>
      <w:numFmt w:val="lowerLetter"/>
      <w:lvlText w:val="%2."/>
      <w:lvlJc w:val="left"/>
      <w:pPr>
        <w:ind w:left="1724" w:hanging="360"/>
      </w:pPr>
    </w:lvl>
    <w:lvl w:ilvl="2" w:tplc="080A001B">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8">
    <w:nsid w:val="5E301DA5"/>
    <w:multiLevelType w:val="multilevel"/>
    <w:tmpl w:val="F6247C92"/>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9">
    <w:nsid w:val="5F08135E"/>
    <w:multiLevelType w:val="multilevel"/>
    <w:tmpl w:val="11DC6BE6"/>
    <w:lvl w:ilvl="0">
      <w:start w:val="1"/>
      <w:numFmt w:val="decimal"/>
      <w:pStyle w:val="Grafica1cap7"/>
      <w:isLgl/>
      <w:suff w:val="space"/>
      <w:lvlText w:val="Grafica 7.%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5F737A7A"/>
    <w:multiLevelType w:val="hybridMultilevel"/>
    <w:tmpl w:val="E92A882C"/>
    <w:lvl w:ilvl="0" w:tplc="080A0001">
      <w:start w:val="1"/>
      <w:numFmt w:val="bullet"/>
      <w:lvlText w:val=""/>
      <w:lvlJc w:val="left"/>
      <w:pPr>
        <w:ind w:left="360" w:hanging="360"/>
      </w:pPr>
      <w:rPr>
        <w:rFonts w:ascii="Symbol" w:hAnsi="Symbol" w:hint="default"/>
      </w:rPr>
    </w:lvl>
    <w:lvl w:ilvl="1" w:tplc="080A0001">
      <w:start w:val="1"/>
      <w:numFmt w:val="bullet"/>
      <w:lvlText w:val=""/>
      <w:lvlJc w:val="left"/>
      <w:pPr>
        <w:ind w:left="1080" w:hanging="360"/>
      </w:pPr>
      <w:rPr>
        <w:rFonts w:ascii="Symbol" w:hAnsi="Symbol" w:hint="default"/>
      </w:rPr>
    </w:lvl>
    <w:lvl w:ilvl="2" w:tplc="080A001B">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1">
    <w:nsid w:val="602C3FDF"/>
    <w:multiLevelType w:val="multilevel"/>
    <w:tmpl w:val="836AED0A"/>
    <w:lvl w:ilvl="0">
      <w:start w:val="1"/>
      <w:numFmt w:val="decimal"/>
      <w:pStyle w:val="Grafica1cap3"/>
      <w:suff w:val="space"/>
      <w:lvlText w:val="Gráfica 3.%1."/>
      <w:lvlJc w:val="left"/>
      <w:pPr>
        <w:ind w:left="0" w:firstLine="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2">
    <w:nsid w:val="6052726B"/>
    <w:multiLevelType w:val="multilevel"/>
    <w:tmpl w:val="725A58BA"/>
    <w:lvl w:ilvl="0">
      <w:start w:val="1"/>
      <w:numFmt w:val="decimal"/>
      <w:pStyle w:val="Cuadro1cap3"/>
      <w:suff w:val="space"/>
      <w:lvlText w:val="Cuadro 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nsid w:val="61460E84"/>
    <w:multiLevelType w:val="multilevel"/>
    <w:tmpl w:val="E2BAAA3C"/>
    <w:lvl w:ilvl="0">
      <w:start w:val="1"/>
      <w:numFmt w:val="decimal"/>
      <w:pStyle w:val="Cuadro1cap13"/>
      <w:suff w:val="space"/>
      <w:lvlText w:val="Cuadro 1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4">
    <w:nsid w:val="63C839B8"/>
    <w:multiLevelType w:val="multilevel"/>
    <w:tmpl w:val="7C483A68"/>
    <w:lvl w:ilvl="0">
      <w:start w:val="1"/>
      <w:numFmt w:val="decimal"/>
      <w:pStyle w:val="Fotografia1cap12"/>
      <w:suff w:val="space"/>
      <w:lvlText w:val="Fotografia 12.%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645A2D5F"/>
    <w:multiLevelType w:val="hybridMultilevel"/>
    <w:tmpl w:val="D5FE1FF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nsid w:val="65106AAE"/>
    <w:multiLevelType w:val="hybridMultilevel"/>
    <w:tmpl w:val="DB749192"/>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07">
    <w:nsid w:val="65CF739B"/>
    <w:multiLevelType w:val="multilevel"/>
    <w:tmpl w:val="5CF8FD18"/>
    <w:lvl w:ilvl="0">
      <w:start w:val="1"/>
      <w:numFmt w:val="decimal"/>
      <w:pStyle w:val="figura1cap7"/>
      <w:suff w:val="space"/>
      <w:lvlText w:val="Figura 7.%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nsid w:val="671967EF"/>
    <w:multiLevelType w:val="multilevel"/>
    <w:tmpl w:val="BB3CA45A"/>
    <w:lvl w:ilvl="0">
      <w:start w:val="1"/>
      <w:numFmt w:val="decimal"/>
      <w:pStyle w:val="Fotografia1cap15"/>
      <w:suff w:val="space"/>
      <w:lvlText w:val="Fotografía 15.%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6855619D"/>
    <w:multiLevelType w:val="hybridMultilevel"/>
    <w:tmpl w:val="450AFDC8"/>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nsid w:val="687A6C95"/>
    <w:multiLevelType w:val="multilevel"/>
    <w:tmpl w:val="257201C8"/>
    <w:lvl w:ilvl="0">
      <w:start w:val="1"/>
      <w:numFmt w:val="decimal"/>
      <w:pStyle w:val="Fotografia1cap6"/>
      <w:isLgl/>
      <w:suff w:val="space"/>
      <w:lvlText w:val="Fotografía 6.%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6D6D33CA"/>
    <w:multiLevelType w:val="multilevel"/>
    <w:tmpl w:val="F4ACF65E"/>
    <w:lvl w:ilvl="0">
      <w:start w:val="1"/>
      <w:numFmt w:val="decimal"/>
      <w:pStyle w:val="Fotografia1cap9"/>
      <w:suff w:val="space"/>
      <w:lvlText w:val="Fotografía 9.%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70BE7F44"/>
    <w:multiLevelType w:val="multilevel"/>
    <w:tmpl w:val="9BAE0768"/>
    <w:lvl w:ilvl="0">
      <w:start w:val="1"/>
      <w:numFmt w:val="decimal"/>
      <w:pStyle w:val="Tabla1cap6"/>
      <w:suff w:val="space"/>
      <w:lvlText w:val="Tabla 6.%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713843B4"/>
    <w:multiLevelType w:val="hybridMultilevel"/>
    <w:tmpl w:val="3210E7FE"/>
    <w:lvl w:ilvl="0" w:tplc="080A0001">
      <w:start w:val="1"/>
      <w:numFmt w:val="bullet"/>
      <w:lvlText w:val=""/>
      <w:lvlJc w:val="left"/>
      <w:pPr>
        <w:ind w:left="1004" w:hanging="360"/>
      </w:pPr>
      <w:rPr>
        <w:rFonts w:ascii="Symbol" w:hAnsi="Symbol" w:hint="default"/>
      </w:rPr>
    </w:lvl>
    <w:lvl w:ilvl="1" w:tplc="080A0003">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14">
    <w:nsid w:val="723943B9"/>
    <w:multiLevelType w:val="multilevel"/>
    <w:tmpl w:val="3D58D160"/>
    <w:lvl w:ilvl="0">
      <w:start w:val="1"/>
      <w:numFmt w:val="decimal"/>
      <w:pStyle w:val="Cuadro1"/>
      <w:suff w:val="space"/>
      <w:lvlText w:val="Cuadro %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72BB3025"/>
    <w:multiLevelType w:val="multilevel"/>
    <w:tmpl w:val="39AE562C"/>
    <w:lvl w:ilvl="0">
      <w:start w:val="1"/>
      <w:numFmt w:val="decimal"/>
      <w:pStyle w:val="figura1cap5"/>
      <w:suff w:val="space"/>
      <w:lvlText w:val="Figura 5.%1"/>
      <w:lvlJc w:val="left"/>
      <w:pPr>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6">
    <w:nsid w:val="731C4646"/>
    <w:multiLevelType w:val="multilevel"/>
    <w:tmpl w:val="AF7CC018"/>
    <w:lvl w:ilvl="0">
      <w:start w:val="1"/>
      <w:numFmt w:val="decimal"/>
      <w:pStyle w:val="Fotografa1cap8"/>
      <w:suff w:val="space"/>
      <w:lvlText w:val="Fotografía 8.%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73F851D5"/>
    <w:multiLevelType w:val="multilevel"/>
    <w:tmpl w:val="50B6E66C"/>
    <w:lvl w:ilvl="0">
      <w:start w:val="1"/>
      <w:numFmt w:val="decimal"/>
      <w:pStyle w:val="Tabla1"/>
      <w:suff w:val="space"/>
      <w:lvlText w:val="Tabla %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745114F8"/>
    <w:multiLevelType w:val="multilevel"/>
    <w:tmpl w:val="DBC4967C"/>
    <w:lvl w:ilvl="0">
      <w:start w:val="1"/>
      <w:numFmt w:val="decimal"/>
      <w:pStyle w:val="Fotografia1"/>
      <w:suff w:val="space"/>
      <w:lvlText w:val="Fotografia %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74570FB5"/>
    <w:multiLevelType w:val="hybridMultilevel"/>
    <w:tmpl w:val="6F9AC3F0"/>
    <w:lvl w:ilvl="0" w:tplc="080A000F">
      <w:start w:val="1"/>
      <w:numFmt w:val="decimal"/>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20">
    <w:nsid w:val="760E4C29"/>
    <w:multiLevelType w:val="multilevel"/>
    <w:tmpl w:val="377E34E2"/>
    <w:lvl w:ilvl="0">
      <w:start w:val="1"/>
      <w:numFmt w:val="decimal"/>
      <w:pStyle w:val="Grafica1cap6"/>
      <w:isLgl/>
      <w:suff w:val="space"/>
      <w:lvlText w:val="Gráfica 6.%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77C80C84"/>
    <w:multiLevelType w:val="multilevel"/>
    <w:tmpl w:val="BDE222F2"/>
    <w:lvl w:ilvl="0">
      <w:start w:val="1"/>
      <w:numFmt w:val="decimal"/>
      <w:pStyle w:val="figura1cap8"/>
      <w:suff w:val="space"/>
      <w:lvlText w:val="Figura 8.%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79D704B9"/>
    <w:multiLevelType w:val="multilevel"/>
    <w:tmpl w:val="B9FEDA94"/>
    <w:lvl w:ilvl="0">
      <w:start w:val="1"/>
      <w:numFmt w:val="decimal"/>
      <w:pStyle w:val="Fotografia1cap10"/>
      <w:isLgl/>
      <w:suff w:val="space"/>
      <w:lvlText w:val="Fotografía 10.%1"/>
      <w:lvlJc w:val="left"/>
      <w:pPr>
        <w:ind w:left="0" w:firstLine="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7A38765E"/>
    <w:multiLevelType w:val="multilevel"/>
    <w:tmpl w:val="0AE0A43C"/>
    <w:lvl w:ilvl="0">
      <w:start w:val="1"/>
      <w:numFmt w:val="decimal"/>
      <w:pStyle w:val="Tabla1cap9"/>
      <w:suff w:val="space"/>
      <w:lvlText w:val="Tabla 9.%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7C5F20BC"/>
    <w:multiLevelType w:val="multilevel"/>
    <w:tmpl w:val="90F2F6EC"/>
    <w:lvl w:ilvl="0">
      <w:start w:val="1"/>
      <w:numFmt w:val="decimal"/>
      <w:pStyle w:val="Tabla1cap3"/>
      <w:suff w:val="space"/>
      <w:lvlText w:val="Tabla 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7CDC5AAA"/>
    <w:multiLevelType w:val="multilevel"/>
    <w:tmpl w:val="845AED66"/>
    <w:lvl w:ilvl="0">
      <w:start w:val="1"/>
      <w:numFmt w:val="decimal"/>
      <w:pStyle w:val="figura1cap3"/>
      <w:suff w:val="space"/>
      <w:lvlText w:val="Figura 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7D29504D"/>
    <w:multiLevelType w:val="multilevel"/>
    <w:tmpl w:val="CA1C4120"/>
    <w:lvl w:ilvl="0">
      <w:start w:val="1"/>
      <w:numFmt w:val="decimal"/>
      <w:pStyle w:val="Fotografia1cap13"/>
      <w:suff w:val="space"/>
      <w:lvlText w:val="Fotografia 13.%1."/>
      <w:lvlJc w:val="left"/>
      <w:pPr>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7DBE3D36"/>
    <w:multiLevelType w:val="multilevel"/>
    <w:tmpl w:val="3E34D52A"/>
    <w:lvl w:ilvl="0">
      <w:start w:val="1"/>
      <w:numFmt w:val="decimal"/>
      <w:pStyle w:val="Grafica1cap4"/>
      <w:isLgl/>
      <w:suff w:val="space"/>
      <w:lvlText w:val="Gráfica 4.%1"/>
      <w:lvlJc w:val="left"/>
      <w:pPr>
        <w:ind w:left="0" w:firstLine="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8">
    <w:nsid w:val="7E70621F"/>
    <w:multiLevelType w:val="hybridMultilevel"/>
    <w:tmpl w:val="FAEA832C"/>
    <w:lvl w:ilvl="0" w:tplc="A10483B4">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num w:numId="1">
    <w:abstractNumId w:val="79"/>
  </w:num>
  <w:num w:numId="2">
    <w:abstractNumId w:val="12"/>
  </w:num>
  <w:num w:numId="3">
    <w:abstractNumId w:val="3"/>
  </w:num>
  <w:num w:numId="4">
    <w:abstractNumId w:val="6"/>
  </w:num>
  <w:num w:numId="5">
    <w:abstractNumId w:val="125"/>
  </w:num>
  <w:num w:numId="6">
    <w:abstractNumId w:val="84"/>
  </w:num>
  <w:num w:numId="7">
    <w:abstractNumId w:val="115"/>
  </w:num>
  <w:num w:numId="8">
    <w:abstractNumId w:val="96"/>
  </w:num>
  <w:num w:numId="9">
    <w:abstractNumId w:val="107"/>
  </w:num>
  <w:num w:numId="10">
    <w:abstractNumId w:val="121"/>
  </w:num>
  <w:num w:numId="11">
    <w:abstractNumId w:val="32"/>
  </w:num>
  <w:num w:numId="12">
    <w:abstractNumId w:val="55"/>
  </w:num>
  <w:num w:numId="13">
    <w:abstractNumId w:val="69"/>
  </w:num>
  <w:num w:numId="14">
    <w:abstractNumId w:val="102"/>
  </w:num>
  <w:num w:numId="15">
    <w:abstractNumId w:val="35"/>
  </w:num>
  <w:num w:numId="16">
    <w:abstractNumId w:val="5"/>
  </w:num>
  <w:num w:numId="17">
    <w:abstractNumId w:val="85"/>
  </w:num>
  <w:num w:numId="18">
    <w:abstractNumId w:val="15"/>
  </w:num>
  <w:num w:numId="19">
    <w:abstractNumId w:val="94"/>
  </w:num>
  <w:num w:numId="20">
    <w:abstractNumId w:val="23"/>
  </w:num>
  <w:num w:numId="21">
    <w:abstractNumId w:val="78"/>
  </w:num>
  <w:num w:numId="22">
    <w:abstractNumId w:val="48"/>
  </w:num>
  <w:num w:numId="23">
    <w:abstractNumId w:val="124"/>
  </w:num>
  <w:num w:numId="24">
    <w:abstractNumId w:val="22"/>
  </w:num>
  <w:num w:numId="25">
    <w:abstractNumId w:val="13"/>
  </w:num>
  <w:num w:numId="26">
    <w:abstractNumId w:val="112"/>
  </w:num>
  <w:num w:numId="27">
    <w:abstractNumId w:val="16"/>
  </w:num>
  <w:num w:numId="28">
    <w:abstractNumId w:val="74"/>
  </w:num>
  <w:num w:numId="29">
    <w:abstractNumId w:val="123"/>
  </w:num>
  <w:num w:numId="30">
    <w:abstractNumId w:val="63"/>
  </w:num>
  <w:num w:numId="31">
    <w:abstractNumId w:val="114"/>
  </w:num>
  <w:num w:numId="32">
    <w:abstractNumId w:val="117"/>
  </w:num>
  <w:num w:numId="33">
    <w:abstractNumId w:val="62"/>
  </w:num>
  <w:num w:numId="34">
    <w:abstractNumId w:val="118"/>
  </w:num>
  <w:num w:numId="35">
    <w:abstractNumId w:val="17"/>
  </w:num>
  <w:num w:numId="36">
    <w:abstractNumId w:val="64"/>
  </w:num>
  <w:num w:numId="37">
    <w:abstractNumId w:val="27"/>
  </w:num>
  <w:num w:numId="38">
    <w:abstractNumId w:val="54"/>
  </w:num>
  <w:num w:numId="39">
    <w:abstractNumId w:val="52"/>
  </w:num>
  <w:num w:numId="40">
    <w:abstractNumId w:val="51"/>
  </w:num>
  <w:num w:numId="41">
    <w:abstractNumId w:val="110"/>
  </w:num>
  <w:num w:numId="42">
    <w:abstractNumId w:val="91"/>
  </w:num>
  <w:num w:numId="43">
    <w:abstractNumId w:val="116"/>
  </w:num>
  <w:num w:numId="44">
    <w:abstractNumId w:val="111"/>
  </w:num>
  <w:num w:numId="45">
    <w:abstractNumId w:val="122"/>
  </w:num>
  <w:num w:numId="46">
    <w:abstractNumId w:val="66"/>
  </w:num>
  <w:num w:numId="47">
    <w:abstractNumId w:val="75"/>
  </w:num>
  <w:num w:numId="48">
    <w:abstractNumId w:val="101"/>
  </w:num>
  <w:num w:numId="49">
    <w:abstractNumId w:val="127"/>
  </w:num>
  <w:num w:numId="50">
    <w:abstractNumId w:val="9"/>
  </w:num>
  <w:num w:numId="51">
    <w:abstractNumId w:val="120"/>
  </w:num>
  <w:num w:numId="52">
    <w:abstractNumId w:val="99"/>
  </w:num>
  <w:num w:numId="53">
    <w:abstractNumId w:val="46"/>
  </w:num>
  <w:num w:numId="54">
    <w:abstractNumId w:val="49"/>
  </w:num>
  <w:num w:numId="55">
    <w:abstractNumId w:val="37"/>
  </w:num>
  <w:num w:numId="56">
    <w:abstractNumId w:val="98"/>
  </w:num>
  <w:num w:numId="57">
    <w:abstractNumId w:val="60"/>
  </w:num>
  <w:num w:numId="58">
    <w:abstractNumId w:val="93"/>
  </w:num>
  <w:num w:numId="59">
    <w:abstractNumId w:val="67"/>
  </w:num>
  <w:num w:numId="60">
    <w:abstractNumId w:val="0"/>
  </w:num>
  <w:num w:numId="61">
    <w:abstractNumId w:val="90"/>
  </w:num>
  <w:num w:numId="62">
    <w:abstractNumId w:val="30"/>
  </w:num>
  <w:num w:numId="63">
    <w:abstractNumId w:val="76"/>
  </w:num>
  <w:num w:numId="64">
    <w:abstractNumId w:val="70"/>
  </w:num>
  <w:num w:numId="65">
    <w:abstractNumId w:val="33"/>
  </w:num>
  <w:num w:numId="66">
    <w:abstractNumId w:val="41"/>
  </w:num>
  <w:num w:numId="67">
    <w:abstractNumId w:val="58"/>
  </w:num>
  <w:num w:numId="68">
    <w:abstractNumId w:val="8"/>
  </w:num>
  <w:num w:numId="69">
    <w:abstractNumId w:val="21"/>
  </w:num>
  <w:num w:numId="70">
    <w:abstractNumId w:val="18"/>
  </w:num>
  <w:num w:numId="71">
    <w:abstractNumId w:val="83"/>
  </w:num>
  <w:num w:numId="72">
    <w:abstractNumId w:val="80"/>
  </w:num>
  <w:num w:numId="73">
    <w:abstractNumId w:val="104"/>
  </w:num>
  <w:num w:numId="74">
    <w:abstractNumId w:val="126"/>
  </w:num>
  <w:num w:numId="75">
    <w:abstractNumId w:val="77"/>
  </w:num>
  <w:num w:numId="76">
    <w:abstractNumId w:val="108"/>
  </w:num>
  <w:num w:numId="77">
    <w:abstractNumId w:val="89"/>
  </w:num>
  <w:num w:numId="78">
    <w:abstractNumId w:val="53"/>
  </w:num>
  <w:num w:numId="79">
    <w:abstractNumId w:val="103"/>
  </w:num>
  <w:num w:numId="80">
    <w:abstractNumId w:val="10"/>
  </w:num>
  <w:num w:numId="81">
    <w:abstractNumId w:val="65"/>
  </w:num>
  <w:num w:numId="82">
    <w:abstractNumId w:val="71"/>
  </w:num>
  <w:num w:numId="83">
    <w:abstractNumId w:val="7"/>
  </w:num>
  <w:num w:numId="84">
    <w:abstractNumId w:val="19"/>
  </w:num>
  <w:num w:numId="85">
    <w:abstractNumId w:val="57"/>
  </w:num>
  <w:num w:numId="86">
    <w:abstractNumId w:val="50"/>
  </w:num>
  <w:num w:numId="87">
    <w:abstractNumId w:val="44"/>
  </w:num>
  <w:num w:numId="88">
    <w:abstractNumId w:val="43"/>
  </w:num>
  <w:num w:numId="89">
    <w:abstractNumId w:val="11"/>
  </w:num>
  <w:num w:numId="90">
    <w:abstractNumId w:val="24"/>
  </w:num>
  <w:num w:numId="91">
    <w:abstractNumId w:val="95"/>
  </w:num>
  <w:num w:numId="92">
    <w:abstractNumId w:val="105"/>
  </w:num>
  <w:num w:numId="93">
    <w:abstractNumId w:val="26"/>
  </w:num>
  <w:num w:numId="94">
    <w:abstractNumId w:val="34"/>
  </w:num>
  <w:num w:numId="95">
    <w:abstractNumId w:val="1"/>
  </w:num>
  <w:num w:numId="96">
    <w:abstractNumId w:val="82"/>
  </w:num>
  <w:num w:numId="97">
    <w:abstractNumId w:val="88"/>
  </w:num>
  <w:num w:numId="98">
    <w:abstractNumId w:val="113"/>
  </w:num>
  <w:num w:numId="99">
    <w:abstractNumId w:val="20"/>
  </w:num>
  <w:num w:numId="100">
    <w:abstractNumId w:val="61"/>
  </w:num>
  <w:num w:numId="101">
    <w:abstractNumId w:val="14"/>
  </w:num>
  <w:num w:numId="102">
    <w:abstractNumId w:val="81"/>
  </w:num>
  <w:num w:numId="103">
    <w:abstractNumId w:val="128"/>
  </w:num>
  <w:num w:numId="104">
    <w:abstractNumId w:val="40"/>
  </w:num>
  <w:num w:numId="105">
    <w:abstractNumId w:val="86"/>
  </w:num>
  <w:num w:numId="106">
    <w:abstractNumId w:val="4"/>
  </w:num>
  <w:num w:numId="107">
    <w:abstractNumId w:val="2"/>
  </w:num>
  <w:num w:numId="108">
    <w:abstractNumId w:val="42"/>
  </w:num>
  <w:num w:numId="109">
    <w:abstractNumId w:val="106"/>
  </w:num>
  <w:num w:numId="110">
    <w:abstractNumId w:val="25"/>
  </w:num>
  <w:num w:numId="111">
    <w:abstractNumId w:val="59"/>
  </w:num>
  <w:num w:numId="112">
    <w:abstractNumId w:val="72"/>
  </w:num>
  <w:num w:numId="113">
    <w:abstractNumId w:val="68"/>
  </w:num>
  <w:num w:numId="114">
    <w:abstractNumId w:val="28"/>
  </w:num>
  <w:num w:numId="115">
    <w:abstractNumId w:val="29"/>
  </w:num>
  <w:num w:numId="116">
    <w:abstractNumId w:val="100"/>
  </w:num>
  <w:num w:numId="117">
    <w:abstractNumId w:val="119"/>
  </w:num>
  <w:num w:numId="118">
    <w:abstractNumId w:val="92"/>
  </w:num>
  <w:num w:numId="119">
    <w:abstractNumId w:val="45"/>
  </w:num>
  <w:num w:numId="120">
    <w:abstractNumId w:val="39"/>
  </w:num>
  <w:num w:numId="121">
    <w:abstractNumId w:val="97"/>
  </w:num>
  <w:num w:numId="122">
    <w:abstractNumId w:val="73"/>
  </w:num>
  <w:num w:numId="123">
    <w:abstractNumId w:val="109"/>
  </w:num>
  <w:num w:numId="124">
    <w:abstractNumId w:val="31"/>
  </w:num>
  <w:num w:numId="125">
    <w:abstractNumId w:val="56"/>
  </w:num>
  <w:num w:numId="126">
    <w:abstractNumId w:val="87"/>
  </w:num>
  <w:num w:numId="127">
    <w:abstractNumId w:val="36"/>
  </w:num>
  <w:num w:numId="128">
    <w:abstractNumId w:val="38"/>
  </w:num>
  <w:num w:numId="129">
    <w:abstractNumId w:val="47"/>
  </w:num>
  <w:num w:numId="130">
    <w:abstractNumId w:val="115"/>
  </w:num>
  <w:num w:numId="131">
    <w:abstractNumId w:val="115"/>
  </w:num>
  <w:num w:numId="132">
    <w:abstractNumId w:val="115"/>
  </w:num>
  <w:num w:numId="133">
    <w:abstractNumId w:val="96"/>
  </w:num>
  <w:num w:numId="134">
    <w:abstractNumId w:val="112"/>
  </w:num>
  <w:num w:numId="135">
    <w:abstractNumId w:val="112"/>
  </w:num>
  <w:num w:numId="136">
    <w:abstractNumId w:val="96"/>
  </w:num>
  <w:numIdMacAtCleanup w:val="1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activeWritingStyle w:appName="MSWord" w:lang="es-MX" w:vendorID="9" w:dllVersion="512" w:checkStyle="1"/>
  <w:activeWritingStyle w:appName="MSWord" w:lang="pt-BR" w:vendorID="1" w:dllVersion="513" w:checkStyle="1"/>
  <w:proofState w:spelling="clean" w:grammar="clean"/>
  <w:stylePaneFormatFilter w:val="3001"/>
  <w:defaultTabStop w:val="708"/>
  <w:hyphenationZone w:val="425"/>
  <w:drawingGridHorizontalSpacing w:val="110"/>
  <w:displayHorizontalDrawingGridEvery w:val="2"/>
  <w:noPunctuationKerning/>
  <w:characterSpacingControl w:val="doNotCompress"/>
  <w:hdrShapeDefaults>
    <o:shapedefaults v:ext="edit" spidmax="58370">
      <o:colormru v:ext="edit" colors="#10499a,#963,#330,#030,#066,#6cf,#f9f,black"/>
      <o:colormenu v:ext="edit" fillcolor="#030" strokecolor="#10499a" shadowcolor="none"/>
    </o:shapedefaults>
  </w:hdrShapeDefaults>
  <w:footnotePr>
    <w:footnote w:id="-1"/>
    <w:footnote w:id="0"/>
  </w:footnotePr>
  <w:endnotePr>
    <w:endnote w:id="-1"/>
    <w:endnote w:id="0"/>
  </w:endnotePr>
  <w:compat>
    <w:useFELayout/>
  </w:compat>
  <w:rsids>
    <w:rsidRoot w:val="00AE7C22"/>
    <w:rsid w:val="00000799"/>
    <w:rsid w:val="000008FD"/>
    <w:rsid w:val="00007268"/>
    <w:rsid w:val="00011674"/>
    <w:rsid w:val="000117C4"/>
    <w:rsid w:val="00011B31"/>
    <w:rsid w:val="00011F88"/>
    <w:rsid w:val="000124DE"/>
    <w:rsid w:val="000149DC"/>
    <w:rsid w:val="00014C20"/>
    <w:rsid w:val="00015DF8"/>
    <w:rsid w:val="00016622"/>
    <w:rsid w:val="0002207A"/>
    <w:rsid w:val="00022692"/>
    <w:rsid w:val="00023A36"/>
    <w:rsid w:val="000273E6"/>
    <w:rsid w:val="000309A3"/>
    <w:rsid w:val="00032A3A"/>
    <w:rsid w:val="00033434"/>
    <w:rsid w:val="00033E37"/>
    <w:rsid w:val="000359B7"/>
    <w:rsid w:val="00035A70"/>
    <w:rsid w:val="00035FCC"/>
    <w:rsid w:val="000404CA"/>
    <w:rsid w:val="000406D9"/>
    <w:rsid w:val="000419F4"/>
    <w:rsid w:val="000442BE"/>
    <w:rsid w:val="00052D56"/>
    <w:rsid w:val="000569FC"/>
    <w:rsid w:val="00056F37"/>
    <w:rsid w:val="000574FF"/>
    <w:rsid w:val="00060617"/>
    <w:rsid w:val="00062C23"/>
    <w:rsid w:val="00063F35"/>
    <w:rsid w:val="00064145"/>
    <w:rsid w:val="00064208"/>
    <w:rsid w:val="0006559E"/>
    <w:rsid w:val="000669C3"/>
    <w:rsid w:val="00066B1D"/>
    <w:rsid w:val="000677BC"/>
    <w:rsid w:val="00071CDA"/>
    <w:rsid w:val="00072412"/>
    <w:rsid w:val="00076B8A"/>
    <w:rsid w:val="00082D86"/>
    <w:rsid w:val="00082D97"/>
    <w:rsid w:val="0008412D"/>
    <w:rsid w:val="00085147"/>
    <w:rsid w:val="000929C6"/>
    <w:rsid w:val="00093327"/>
    <w:rsid w:val="0009453F"/>
    <w:rsid w:val="0009476B"/>
    <w:rsid w:val="000A1601"/>
    <w:rsid w:val="000A20C4"/>
    <w:rsid w:val="000A38AB"/>
    <w:rsid w:val="000A405D"/>
    <w:rsid w:val="000A4386"/>
    <w:rsid w:val="000A60AC"/>
    <w:rsid w:val="000A698D"/>
    <w:rsid w:val="000A6DFA"/>
    <w:rsid w:val="000B1636"/>
    <w:rsid w:val="000B2D7B"/>
    <w:rsid w:val="000B3984"/>
    <w:rsid w:val="000B5780"/>
    <w:rsid w:val="000B663D"/>
    <w:rsid w:val="000C1CA4"/>
    <w:rsid w:val="000C2FEE"/>
    <w:rsid w:val="000C313C"/>
    <w:rsid w:val="000C5614"/>
    <w:rsid w:val="000C5C49"/>
    <w:rsid w:val="000D12DE"/>
    <w:rsid w:val="000D569A"/>
    <w:rsid w:val="000D5FC4"/>
    <w:rsid w:val="000D6865"/>
    <w:rsid w:val="000D6DBF"/>
    <w:rsid w:val="000E1FAD"/>
    <w:rsid w:val="000E2CB6"/>
    <w:rsid w:val="000E30F2"/>
    <w:rsid w:val="000E44A0"/>
    <w:rsid w:val="000E53DB"/>
    <w:rsid w:val="000E6FBD"/>
    <w:rsid w:val="000F3AF4"/>
    <w:rsid w:val="000F43D2"/>
    <w:rsid w:val="000F4C4F"/>
    <w:rsid w:val="000F50F5"/>
    <w:rsid w:val="000F528F"/>
    <w:rsid w:val="000F6094"/>
    <w:rsid w:val="000F6D46"/>
    <w:rsid w:val="000F7E54"/>
    <w:rsid w:val="00101EA0"/>
    <w:rsid w:val="001038ED"/>
    <w:rsid w:val="001044E9"/>
    <w:rsid w:val="0010474B"/>
    <w:rsid w:val="0010602B"/>
    <w:rsid w:val="00106565"/>
    <w:rsid w:val="00106E81"/>
    <w:rsid w:val="001110A5"/>
    <w:rsid w:val="00112E85"/>
    <w:rsid w:val="00114869"/>
    <w:rsid w:val="001206CD"/>
    <w:rsid w:val="00122A6E"/>
    <w:rsid w:val="00124076"/>
    <w:rsid w:val="00124B01"/>
    <w:rsid w:val="00124D44"/>
    <w:rsid w:val="0012660F"/>
    <w:rsid w:val="001275F6"/>
    <w:rsid w:val="00127E47"/>
    <w:rsid w:val="00130D4C"/>
    <w:rsid w:val="001312D6"/>
    <w:rsid w:val="001376E5"/>
    <w:rsid w:val="00137A89"/>
    <w:rsid w:val="00137EC0"/>
    <w:rsid w:val="001412BB"/>
    <w:rsid w:val="00141B56"/>
    <w:rsid w:val="00142F72"/>
    <w:rsid w:val="00145A14"/>
    <w:rsid w:val="001460F4"/>
    <w:rsid w:val="00146743"/>
    <w:rsid w:val="00146E87"/>
    <w:rsid w:val="001516F7"/>
    <w:rsid w:val="001527C0"/>
    <w:rsid w:val="001529C5"/>
    <w:rsid w:val="00155C28"/>
    <w:rsid w:val="00155E6A"/>
    <w:rsid w:val="001568F0"/>
    <w:rsid w:val="00156CC8"/>
    <w:rsid w:val="00156E86"/>
    <w:rsid w:val="00161BEC"/>
    <w:rsid w:val="001620ED"/>
    <w:rsid w:val="00165ECE"/>
    <w:rsid w:val="00167BD5"/>
    <w:rsid w:val="00170AB2"/>
    <w:rsid w:val="00174B68"/>
    <w:rsid w:val="001753A4"/>
    <w:rsid w:val="001761C6"/>
    <w:rsid w:val="00176D9D"/>
    <w:rsid w:val="00181188"/>
    <w:rsid w:val="001830F2"/>
    <w:rsid w:val="00183EFF"/>
    <w:rsid w:val="0018471D"/>
    <w:rsid w:val="00184E26"/>
    <w:rsid w:val="00185B0C"/>
    <w:rsid w:val="001908A0"/>
    <w:rsid w:val="00190AE7"/>
    <w:rsid w:val="001937FE"/>
    <w:rsid w:val="00193E56"/>
    <w:rsid w:val="001A0712"/>
    <w:rsid w:val="001A0E0C"/>
    <w:rsid w:val="001A372D"/>
    <w:rsid w:val="001A5E36"/>
    <w:rsid w:val="001A650E"/>
    <w:rsid w:val="001A683F"/>
    <w:rsid w:val="001A76E0"/>
    <w:rsid w:val="001B1362"/>
    <w:rsid w:val="001B3966"/>
    <w:rsid w:val="001B3CAA"/>
    <w:rsid w:val="001B3F3F"/>
    <w:rsid w:val="001B4379"/>
    <w:rsid w:val="001B446F"/>
    <w:rsid w:val="001B4784"/>
    <w:rsid w:val="001B54B0"/>
    <w:rsid w:val="001B6C49"/>
    <w:rsid w:val="001B70B6"/>
    <w:rsid w:val="001C208D"/>
    <w:rsid w:val="001C2A81"/>
    <w:rsid w:val="001C36B4"/>
    <w:rsid w:val="001C4750"/>
    <w:rsid w:val="001C4C4E"/>
    <w:rsid w:val="001C6AF8"/>
    <w:rsid w:val="001D0A59"/>
    <w:rsid w:val="001D0E93"/>
    <w:rsid w:val="001D41F7"/>
    <w:rsid w:val="001D49F0"/>
    <w:rsid w:val="001D4F07"/>
    <w:rsid w:val="001D5022"/>
    <w:rsid w:val="001D702A"/>
    <w:rsid w:val="001E1D0A"/>
    <w:rsid w:val="001E2670"/>
    <w:rsid w:val="001E3E32"/>
    <w:rsid w:val="001E536F"/>
    <w:rsid w:val="001E5385"/>
    <w:rsid w:val="001E5DF0"/>
    <w:rsid w:val="001E610F"/>
    <w:rsid w:val="001E7142"/>
    <w:rsid w:val="001E715D"/>
    <w:rsid w:val="001E7959"/>
    <w:rsid w:val="001F42C0"/>
    <w:rsid w:val="00201CA8"/>
    <w:rsid w:val="00202525"/>
    <w:rsid w:val="002032B4"/>
    <w:rsid w:val="0020451C"/>
    <w:rsid w:val="0020567A"/>
    <w:rsid w:val="0020772C"/>
    <w:rsid w:val="002104C0"/>
    <w:rsid w:val="002106B9"/>
    <w:rsid w:val="00212427"/>
    <w:rsid w:val="00215DFF"/>
    <w:rsid w:val="00217484"/>
    <w:rsid w:val="00217813"/>
    <w:rsid w:val="00217F48"/>
    <w:rsid w:val="00220727"/>
    <w:rsid w:val="00220A31"/>
    <w:rsid w:val="002210CC"/>
    <w:rsid w:val="00221D52"/>
    <w:rsid w:val="002237F5"/>
    <w:rsid w:val="002239D4"/>
    <w:rsid w:val="00223DB4"/>
    <w:rsid w:val="0022423F"/>
    <w:rsid w:val="00224866"/>
    <w:rsid w:val="00226B15"/>
    <w:rsid w:val="0022772E"/>
    <w:rsid w:val="00230A91"/>
    <w:rsid w:val="00232AA2"/>
    <w:rsid w:val="00234700"/>
    <w:rsid w:val="00235667"/>
    <w:rsid w:val="00240564"/>
    <w:rsid w:val="00247B8E"/>
    <w:rsid w:val="002512BF"/>
    <w:rsid w:val="00251E31"/>
    <w:rsid w:val="00252325"/>
    <w:rsid w:val="002527FE"/>
    <w:rsid w:val="002529B5"/>
    <w:rsid w:val="0025352C"/>
    <w:rsid w:val="002602E2"/>
    <w:rsid w:val="002616B1"/>
    <w:rsid w:val="00261FD5"/>
    <w:rsid w:val="002624F5"/>
    <w:rsid w:val="002630B4"/>
    <w:rsid w:val="002630BF"/>
    <w:rsid w:val="0026694F"/>
    <w:rsid w:val="00266C0B"/>
    <w:rsid w:val="00267BCE"/>
    <w:rsid w:val="002721B7"/>
    <w:rsid w:val="002736A2"/>
    <w:rsid w:val="00273EB4"/>
    <w:rsid w:val="00277127"/>
    <w:rsid w:val="00277338"/>
    <w:rsid w:val="0027744C"/>
    <w:rsid w:val="00281021"/>
    <w:rsid w:val="00281B6F"/>
    <w:rsid w:val="00284F86"/>
    <w:rsid w:val="00286504"/>
    <w:rsid w:val="00287447"/>
    <w:rsid w:val="00290A25"/>
    <w:rsid w:val="002910AC"/>
    <w:rsid w:val="002911E0"/>
    <w:rsid w:val="002932B0"/>
    <w:rsid w:val="002950AC"/>
    <w:rsid w:val="002953E8"/>
    <w:rsid w:val="00296273"/>
    <w:rsid w:val="0029758A"/>
    <w:rsid w:val="002A2183"/>
    <w:rsid w:val="002A2C22"/>
    <w:rsid w:val="002A69DC"/>
    <w:rsid w:val="002A7DB1"/>
    <w:rsid w:val="002B4904"/>
    <w:rsid w:val="002B498C"/>
    <w:rsid w:val="002B4F04"/>
    <w:rsid w:val="002B5BBF"/>
    <w:rsid w:val="002C0B1B"/>
    <w:rsid w:val="002C19C2"/>
    <w:rsid w:val="002C2191"/>
    <w:rsid w:val="002C2714"/>
    <w:rsid w:val="002C3543"/>
    <w:rsid w:val="002C3C3A"/>
    <w:rsid w:val="002C4B88"/>
    <w:rsid w:val="002C4BE3"/>
    <w:rsid w:val="002C4BE9"/>
    <w:rsid w:val="002C55FB"/>
    <w:rsid w:val="002C670B"/>
    <w:rsid w:val="002C7AFA"/>
    <w:rsid w:val="002C7DA3"/>
    <w:rsid w:val="002D4C69"/>
    <w:rsid w:val="002D54D4"/>
    <w:rsid w:val="002D7AA4"/>
    <w:rsid w:val="002E1A6C"/>
    <w:rsid w:val="002E2989"/>
    <w:rsid w:val="002E32D3"/>
    <w:rsid w:val="002E4233"/>
    <w:rsid w:val="002E433F"/>
    <w:rsid w:val="002E44E9"/>
    <w:rsid w:val="002E4597"/>
    <w:rsid w:val="002E58B2"/>
    <w:rsid w:val="002E5FDE"/>
    <w:rsid w:val="002E6715"/>
    <w:rsid w:val="002E7325"/>
    <w:rsid w:val="002F065B"/>
    <w:rsid w:val="002F0676"/>
    <w:rsid w:val="002F093D"/>
    <w:rsid w:val="002F16EF"/>
    <w:rsid w:val="002F3332"/>
    <w:rsid w:val="002F7149"/>
    <w:rsid w:val="003014A8"/>
    <w:rsid w:val="00302005"/>
    <w:rsid w:val="00302158"/>
    <w:rsid w:val="003034BD"/>
    <w:rsid w:val="003045B1"/>
    <w:rsid w:val="00305749"/>
    <w:rsid w:val="0030665A"/>
    <w:rsid w:val="003072E6"/>
    <w:rsid w:val="00310825"/>
    <w:rsid w:val="0031268D"/>
    <w:rsid w:val="00312C44"/>
    <w:rsid w:val="00314C3C"/>
    <w:rsid w:val="00314DAD"/>
    <w:rsid w:val="00320AEC"/>
    <w:rsid w:val="00323C4A"/>
    <w:rsid w:val="003247AE"/>
    <w:rsid w:val="0032792F"/>
    <w:rsid w:val="003327D6"/>
    <w:rsid w:val="00333280"/>
    <w:rsid w:val="00334365"/>
    <w:rsid w:val="0033462C"/>
    <w:rsid w:val="003346CF"/>
    <w:rsid w:val="0033585F"/>
    <w:rsid w:val="00336EA5"/>
    <w:rsid w:val="00337667"/>
    <w:rsid w:val="00337948"/>
    <w:rsid w:val="003414D4"/>
    <w:rsid w:val="00341A0B"/>
    <w:rsid w:val="00343B7A"/>
    <w:rsid w:val="00344596"/>
    <w:rsid w:val="00345960"/>
    <w:rsid w:val="003478D1"/>
    <w:rsid w:val="00350667"/>
    <w:rsid w:val="00351162"/>
    <w:rsid w:val="00352076"/>
    <w:rsid w:val="003536D8"/>
    <w:rsid w:val="003618A3"/>
    <w:rsid w:val="0036383B"/>
    <w:rsid w:val="00365E0C"/>
    <w:rsid w:val="0037181A"/>
    <w:rsid w:val="00372646"/>
    <w:rsid w:val="00373335"/>
    <w:rsid w:val="00374B94"/>
    <w:rsid w:val="00376D20"/>
    <w:rsid w:val="00376ED4"/>
    <w:rsid w:val="003804F7"/>
    <w:rsid w:val="00380DAA"/>
    <w:rsid w:val="0038334D"/>
    <w:rsid w:val="00383568"/>
    <w:rsid w:val="0038394C"/>
    <w:rsid w:val="00383DF7"/>
    <w:rsid w:val="003845AD"/>
    <w:rsid w:val="0038548D"/>
    <w:rsid w:val="0038552C"/>
    <w:rsid w:val="00385A0E"/>
    <w:rsid w:val="00387767"/>
    <w:rsid w:val="003877FC"/>
    <w:rsid w:val="0039118E"/>
    <w:rsid w:val="003916B5"/>
    <w:rsid w:val="00391974"/>
    <w:rsid w:val="0039251B"/>
    <w:rsid w:val="0039370B"/>
    <w:rsid w:val="003943CB"/>
    <w:rsid w:val="003948D9"/>
    <w:rsid w:val="00394961"/>
    <w:rsid w:val="00394A04"/>
    <w:rsid w:val="00397142"/>
    <w:rsid w:val="003972CC"/>
    <w:rsid w:val="003A233F"/>
    <w:rsid w:val="003A4099"/>
    <w:rsid w:val="003A51A2"/>
    <w:rsid w:val="003B03B9"/>
    <w:rsid w:val="003B1597"/>
    <w:rsid w:val="003B1CD7"/>
    <w:rsid w:val="003B4753"/>
    <w:rsid w:val="003B5AD0"/>
    <w:rsid w:val="003C290B"/>
    <w:rsid w:val="003C3298"/>
    <w:rsid w:val="003C3938"/>
    <w:rsid w:val="003C4CA7"/>
    <w:rsid w:val="003C5AE8"/>
    <w:rsid w:val="003C5FFC"/>
    <w:rsid w:val="003C7F1A"/>
    <w:rsid w:val="003D1334"/>
    <w:rsid w:val="003D2EC9"/>
    <w:rsid w:val="003D4468"/>
    <w:rsid w:val="003D6784"/>
    <w:rsid w:val="003D682E"/>
    <w:rsid w:val="003D6C22"/>
    <w:rsid w:val="003E250E"/>
    <w:rsid w:val="003E3178"/>
    <w:rsid w:val="003E3F39"/>
    <w:rsid w:val="003E4A08"/>
    <w:rsid w:val="003E5869"/>
    <w:rsid w:val="003E5FFF"/>
    <w:rsid w:val="003E6369"/>
    <w:rsid w:val="003F2DDC"/>
    <w:rsid w:val="003F3396"/>
    <w:rsid w:val="003F3D6D"/>
    <w:rsid w:val="003F680F"/>
    <w:rsid w:val="00400FDC"/>
    <w:rsid w:val="0040191E"/>
    <w:rsid w:val="00401E36"/>
    <w:rsid w:val="00402BF0"/>
    <w:rsid w:val="00403132"/>
    <w:rsid w:val="004073C0"/>
    <w:rsid w:val="004109F4"/>
    <w:rsid w:val="00412088"/>
    <w:rsid w:val="00413677"/>
    <w:rsid w:val="004150EA"/>
    <w:rsid w:val="0041515D"/>
    <w:rsid w:val="00416956"/>
    <w:rsid w:val="00424854"/>
    <w:rsid w:val="00424D8B"/>
    <w:rsid w:val="00425823"/>
    <w:rsid w:val="0042599E"/>
    <w:rsid w:val="00427F67"/>
    <w:rsid w:val="0043183D"/>
    <w:rsid w:val="00432BFB"/>
    <w:rsid w:val="00433B9F"/>
    <w:rsid w:val="004359A8"/>
    <w:rsid w:val="00436506"/>
    <w:rsid w:val="00440642"/>
    <w:rsid w:val="004436EC"/>
    <w:rsid w:val="00443F64"/>
    <w:rsid w:val="00446700"/>
    <w:rsid w:val="00451C1A"/>
    <w:rsid w:val="00452F37"/>
    <w:rsid w:val="004553B9"/>
    <w:rsid w:val="00456A67"/>
    <w:rsid w:val="00460767"/>
    <w:rsid w:val="00461EF7"/>
    <w:rsid w:val="00462276"/>
    <w:rsid w:val="00462C87"/>
    <w:rsid w:val="00463C2B"/>
    <w:rsid w:val="00471803"/>
    <w:rsid w:val="00474C98"/>
    <w:rsid w:val="0047547F"/>
    <w:rsid w:val="00482C96"/>
    <w:rsid w:val="00482ED5"/>
    <w:rsid w:val="0048341B"/>
    <w:rsid w:val="0048726E"/>
    <w:rsid w:val="004937C0"/>
    <w:rsid w:val="00493D56"/>
    <w:rsid w:val="00495D55"/>
    <w:rsid w:val="0049604A"/>
    <w:rsid w:val="004964DB"/>
    <w:rsid w:val="00496892"/>
    <w:rsid w:val="004B01BB"/>
    <w:rsid w:val="004B1A12"/>
    <w:rsid w:val="004B364E"/>
    <w:rsid w:val="004B53E8"/>
    <w:rsid w:val="004B62A5"/>
    <w:rsid w:val="004B670E"/>
    <w:rsid w:val="004C0909"/>
    <w:rsid w:val="004C1E58"/>
    <w:rsid w:val="004C28BA"/>
    <w:rsid w:val="004C5740"/>
    <w:rsid w:val="004C64A1"/>
    <w:rsid w:val="004D072F"/>
    <w:rsid w:val="004D0733"/>
    <w:rsid w:val="004D0AAE"/>
    <w:rsid w:val="004D12A6"/>
    <w:rsid w:val="004D2C92"/>
    <w:rsid w:val="004D3527"/>
    <w:rsid w:val="004D7718"/>
    <w:rsid w:val="004E10C0"/>
    <w:rsid w:val="004E4325"/>
    <w:rsid w:val="004E5BF2"/>
    <w:rsid w:val="004E5DE5"/>
    <w:rsid w:val="004E5E5C"/>
    <w:rsid w:val="004F42C7"/>
    <w:rsid w:val="004F704F"/>
    <w:rsid w:val="00500FB9"/>
    <w:rsid w:val="0050315B"/>
    <w:rsid w:val="0050453A"/>
    <w:rsid w:val="0050502F"/>
    <w:rsid w:val="005065A7"/>
    <w:rsid w:val="005116D9"/>
    <w:rsid w:val="005126D7"/>
    <w:rsid w:val="00512F5E"/>
    <w:rsid w:val="0051478A"/>
    <w:rsid w:val="0051625B"/>
    <w:rsid w:val="00516B0A"/>
    <w:rsid w:val="0051749F"/>
    <w:rsid w:val="00517A63"/>
    <w:rsid w:val="00517BFB"/>
    <w:rsid w:val="00520A9D"/>
    <w:rsid w:val="0052104A"/>
    <w:rsid w:val="00526945"/>
    <w:rsid w:val="005312F9"/>
    <w:rsid w:val="00531749"/>
    <w:rsid w:val="00532A7F"/>
    <w:rsid w:val="0053530D"/>
    <w:rsid w:val="005365F6"/>
    <w:rsid w:val="00536A2B"/>
    <w:rsid w:val="005426F7"/>
    <w:rsid w:val="00542885"/>
    <w:rsid w:val="00543F38"/>
    <w:rsid w:val="00545FC3"/>
    <w:rsid w:val="00546304"/>
    <w:rsid w:val="005503B4"/>
    <w:rsid w:val="00550C99"/>
    <w:rsid w:val="005544DF"/>
    <w:rsid w:val="00555636"/>
    <w:rsid w:val="005566AB"/>
    <w:rsid w:val="005573B4"/>
    <w:rsid w:val="00563102"/>
    <w:rsid w:val="00563F3C"/>
    <w:rsid w:val="0056400D"/>
    <w:rsid w:val="005653AA"/>
    <w:rsid w:val="00565FAF"/>
    <w:rsid w:val="005675B2"/>
    <w:rsid w:val="00571948"/>
    <w:rsid w:val="00571E06"/>
    <w:rsid w:val="005751BF"/>
    <w:rsid w:val="00575A82"/>
    <w:rsid w:val="00576650"/>
    <w:rsid w:val="005766D9"/>
    <w:rsid w:val="00577F8F"/>
    <w:rsid w:val="00581F09"/>
    <w:rsid w:val="0058288B"/>
    <w:rsid w:val="00582D4B"/>
    <w:rsid w:val="00582F69"/>
    <w:rsid w:val="005830CC"/>
    <w:rsid w:val="00591A33"/>
    <w:rsid w:val="00592345"/>
    <w:rsid w:val="00592D31"/>
    <w:rsid w:val="00593698"/>
    <w:rsid w:val="00593F70"/>
    <w:rsid w:val="0059404D"/>
    <w:rsid w:val="00595EE4"/>
    <w:rsid w:val="00597F40"/>
    <w:rsid w:val="005A0BB8"/>
    <w:rsid w:val="005A107B"/>
    <w:rsid w:val="005A4FB9"/>
    <w:rsid w:val="005A60C0"/>
    <w:rsid w:val="005B0F8F"/>
    <w:rsid w:val="005B121E"/>
    <w:rsid w:val="005B166E"/>
    <w:rsid w:val="005B2546"/>
    <w:rsid w:val="005B3115"/>
    <w:rsid w:val="005B32A5"/>
    <w:rsid w:val="005B472E"/>
    <w:rsid w:val="005B4E8A"/>
    <w:rsid w:val="005B6659"/>
    <w:rsid w:val="005C0172"/>
    <w:rsid w:val="005C4883"/>
    <w:rsid w:val="005C5A83"/>
    <w:rsid w:val="005C6088"/>
    <w:rsid w:val="005C6160"/>
    <w:rsid w:val="005C638A"/>
    <w:rsid w:val="005D0A97"/>
    <w:rsid w:val="005D0DDE"/>
    <w:rsid w:val="005D31B6"/>
    <w:rsid w:val="005D3510"/>
    <w:rsid w:val="005D3B6F"/>
    <w:rsid w:val="005D6027"/>
    <w:rsid w:val="005D7865"/>
    <w:rsid w:val="005E2E48"/>
    <w:rsid w:val="005E402D"/>
    <w:rsid w:val="005E42C8"/>
    <w:rsid w:val="005E6AD6"/>
    <w:rsid w:val="005E6F69"/>
    <w:rsid w:val="005F10AC"/>
    <w:rsid w:val="005F23B6"/>
    <w:rsid w:val="005F3B30"/>
    <w:rsid w:val="005F3C71"/>
    <w:rsid w:val="005F3F35"/>
    <w:rsid w:val="005F5BDE"/>
    <w:rsid w:val="005F7337"/>
    <w:rsid w:val="0060275F"/>
    <w:rsid w:val="00602F16"/>
    <w:rsid w:val="00605307"/>
    <w:rsid w:val="00606969"/>
    <w:rsid w:val="00613365"/>
    <w:rsid w:val="0061395F"/>
    <w:rsid w:val="00613D1F"/>
    <w:rsid w:val="00615F24"/>
    <w:rsid w:val="006165A9"/>
    <w:rsid w:val="00617602"/>
    <w:rsid w:val="006256CD"/>
    <w:rsid w:val="00625767"/>
    <w:rsid w:val="0062798D"/>
    <w:rsid w:val="00627E76"/>
    <w:rsid w:val="00627F4C"/>
    <w:rsid w:val="00631D91"/>
    <w:rsid w:val="00632322"/>
    <w:rsid w:val="006341C8"/>
    <w:rsid w:val="0063428D"/>
    <w:rsid w:val="00635037"/>
    <w:rsid w:val="006363D0"/>
    <w:rsid w:val="00637641"/>
    <w:rsid w:val="00640B87"/>
    <w:rsid w:val="00642245"/>
    <w:rsid w:val="00646CEC"/>
    <w:rsid w:val="0064798B"/>
    <w:rsid w:val="00650A71"/>
    <w:rsid w:val="0065113E"/>
    <w:rsid w:val="00655953"/>
    <w:rsid w:val="006566E2"/>
    <w:rsid w:val="00662888"/>
    <w:rsid w:val="00673A79"/>
    <w:rsid w:val="00673E7F"/>
    <w:rsid w:val="00674542"/>
    <w:rsid w:val="0067528A"/>
    <w:rsid w:val="00680423"/>
    <w:rsid w:val="00684D2C"/>
    <w:rsid w:val="00686AB7"/>
    <w:rsid w:val="00687A6F"/>
    <w:rsid w:val="00687D86"/>
    <w:rsid w:val="00691AD9"/>
    <w:rsid w:val="00692567"/>
    <w:rsid w:val="00692B87"/>
    <w:rsid w:val="00694AD1"/>
    <w:rsid w:val="00695337"/>
    <w:rsid w:val="0069553C"/>
    <w:rsid w:val="00695FA8"/>
    <w:rsid w:val="00697AD8"/>
    <w:rsid w:val="006A18FA"/>
    <w:rsid w:val="006A1B57"/>
    <w:rsid w:val="006A2463"/>
    <w:rsid w:val="006A4F66"/>
    <w:rsid w:val="006A5336"/>
    <w:rsid w:val="006A6572"/>
    <w:rsid w:val="006A6B69"/>
    <w:rsid w:val="006B09D9"/>
    <w:rsid w:val="006B4B23"/>
    <w:rsid w:val="006B4CBF"/>
    <w:rsid w:val="006C0513"/>
    <w:rsid w:val="006C2607"/>
    <w:rsid w:val="006C32E1"/>
    <w:rsid w:val="006C4C3C"/>
    <w:rsid w:val="006C6266"/>
    <w:rsid w:val="006D0BBF"/>
    <w:rsid w:val="006D19D8"/>
    <w:rsid w:val="006D1ADE"/>
    <w:rsid w:val="006D3448"/>
    <w:rsid w:val="006D35B9"/>
    <w:rsid w:val="006D40C3"/>
    <w:rsid w:val="006D7B9D"/>
    <w:rsid w:val="006E0C27"/>
    <w:rsid w:val="006E1528"/>
    <w:rsid w:val="006E2636"/>
    <w:rsid w:val="006E5B7F"/>
    <w:rsid w:val="006E600B"/>
    <w:rsid w:val="006E73A6"/>
    <w:rsid w:val="006F091C"/>
    <w:rsid w:val="006F0E0B"/>
    <w:rsid w:val="006F2E65"/>
    <w:rsid w:val="006F3653"/>
    <w:rsid w:val="006F498A"/>
    <w:rsid w:val="006F5028"/>
    <w:rsid w:val="006F61F1"/>
    <w:rsid w:val="006F6BBE"/>
    <w:rsid w:val="00701A64"/>
    <w:rsid w:val="00703597"/>
    <w:rsid w:val="00705B49"/>
    <w:rsid w:val="00712AF7"/>
    <w:rsid w:val="00712F42"/>
    <w:rsid w:val="00713314"/>
    <w:rsid w:val="00713CB5"/>
    <w:rsid w:val="00713CFD"/>
    <w:rsid w:val="00714217"/>
    <w:rsid w:val="0071471D"/>
    <w:rsid w:val="00715120"/>
    <w:rsid w:val="00715AB8"/>
    <w:rsid w:val="007207EB"/>
    <w:rsid w:val="00720EB2"/>
    <w:rsid w:val="00720F66"/>
    <w:rsid w:val="00721446"/>
    <w:rsid w:val="0072192A"/>
    <w:rsid w:val="007220A3"/>
    <w:rsid w:val="0072276F"/>
    <w:rsid w:val="00722911"/>
    <w:rsid w:val="00723ECF"/>
    <w:rsid w:val="00726733"/>
    <w:rsid w:val="00727D9A"/>
    <w:rsid w:val="007320E9"/>
    <w:rsid w:val="007355C7"/>
    <w:rsid w:val="00735BE4"/>
    <w:rsid w:val="00736B91"/>
    <w:rsid w:val="00737489"/>
    <w:rsid w:val="007376FE"/>
    <w:rsid w:val="00747576"/>
    <w:rsid w:val="00750D16"/>
    <w:rsid w:val="00751556"/>
    <w:rsid w:val="00751C19"/>
    <w:rsid w:val="00753B4F"/>
    <w:rsid w:val="00754A29"/>
    <w:rsid w:val="00754F2C"/>
    <w:rsid w:val="007563CB"/>
    <w:rsid w:val="00757EC1"/>
    <w:rsid w:val="0076053A"/>
    <w:rsid w:val="00763CDF"/>
    <w:rsid w:val="00765048"/>
    <w:rsid w:val="0076544D"/>
    <w:rsid w:val="00765ED1"/>
    <w:rsid w:val="0077434D"/>
    <w:rsid w:val="0077755F"/>
    <w:rsid w:val="0078078B"/>
    <w:rsid w:val="007828F9"/>
    <w:rsid w:val="00782F24"/>
    <w:rsid w:val="00783EAB"/>
    <w:rsid w:val="007842D2"/>
    <w:rsid w:val="007853CF"/>
    <w:rsid w:val="00786E7A"/>
    <w:rsid w:val="00787B1E"/>
    <w:rsid w:val="0079070E"/>
    <w:rsid w:val="0079302D"/>
    <w:rsid w:val="00793428"/>
    <w:rsid w:val="00793E59"/>
    <w:rsid w:val="00794DBB"/>
    <w:rsid w:val="00796644"/>
    <w:rsid w:val="0079741F"/>
    <w:rsid w:val="00797447"/>
    <w:rsid w:val="00797EB4"/>
    <w:rsid w:val="007A2756"/>
    <w:rsid w:val="007A3592"/>
    <w:rsid w:val="007A484D"/>
    <w:rsid w:val="007B2B6D"/>
    <w:rsid w:val="007B45FC"/>
    <w:rsid w:val="007C0166"/>
    <w:rsid w:val="007C0220"/>
    <w:rsid w:val="007C1D05"/>
    <w:rsid w:val="007C2B0E"/>
    <w:rsid w:val="007C3564"/>
    <w:rsid w:val="007C62DA"/>
    <w:rsid w:val="007C733D"/>
    <w:rsid w:val="007D30DC"/>
    <w:rsid w:val="007E091B"/>
    <w:rsid w:val="007E1A18"/>
    <w:rsid w:val="007E48E5"/>
    <w:rsid w:val="007E7954"/>
    <w:rsid w:val="007F40A3"/>
    <w:rsid w:val="007F6808"/>
    <w:rsid w:val="00800E35"/>
    <w:rsid w:val="00800F7F"/>
    <w:rsid w:val="0080113A"/>
    <w:rsid w:val="008011C2"/>
    <w:rsid w:val="00801EF5"/>
    <w:rsid w:val="00804104"/>
    <w:rsid w:val="00804FD2"/>
    <w:rsid w:val="00805711"/>
    <w:rsid w:val="00810EB8"/>
    <w:rsid w:val="00811036"/>
    <w:rsid w:val="00811360"/>
    <w:rsid w:val="00815903"/>
    <w:rsid w:val="00816BA9"/>
    <w:rsid w:val="00816DA0"/>
    <w:rsid w:val="008218DF"/>
    <w:rsid w:val="0082320D"/>
    <w:rsid w:val="00825E09"/>
    <w:rsid w:val="00830E1C"/>
    <w:rsid w:val="008311E2"/>
    <w:rsid w:val="0083160C"/>
    <w:rsid w:val="00833589"/>
    <w:rsid w:val="0083470B"/>
    <w:rsid w:val="00834F98"/>
    <w:rsid w:val="00835745"/>
    <w:rsid w:val="00837B8C"/>
    <w:rsid w:val="0084005E"/>
    <w:rsid w:val="00843711"/>
    <w:rsid w:val="008450B6"/>
    <w:rsid w:val="00845BCB"/>
    <w:rsid w:val="00846F53"/>
    <w:rsid w:val="00846F6E"/>
    <w:rsid w:val="008476D3"/>
    <w:rsid w:val="00852C38"/>
    <w:rsid w:val="00853C07"/>
    <w:rsid w:val="00854BA4"/>
    <w:rsid w:val="0085524B"/>
    <w:rsid w:val="0085602D"/>
    <w:rsid w:val="00857326"/>
    <w:rsid w:val="00857CE9"/>
    <w:rsid w:val="008618C4"/>
    <w:rsid w:val="00864239"/>
    <w:rsid w:val="00864E90"/>
    <w:rsid w:val="0086694E"/>
    <w:rsid w:val="00871D22"/>
    <w:rsid w:val="00871F42"/>
    <w:rsid w:val="00873820"/>
    <w:rsid w:val="0087388F"/>
    <w:rsid w:val="00880599"/>
    <w:rsid w:val="00880FA0"/>
    <w:rsid w:val="00882025"/>
    <w:rsid w:val="0088351F"/>
    <w:rsid w:val="008854F8"/>
    <w:rsid w:val="008873ED"/>
    <w:rsid w:val="00891F68"/>
    <w:rsid w:val="008929F8"/>
    <w:rsid w:val="008934C6"/>
    <w:rsid w:val="0089569B"/>
    <w:rsid w:val="00895A45"/>
    <w:rsid w:val="008964D3"/>
    <w:rsid w:val="008A09F3"/>
    <w:rsid w:val="008A0A52"/>
    <w:rsid w:val="008A2082"/>
    <w:rsid w:val="008A2265"/>
    <w:rsid w:val="008A3D02"/>
    <w:rsid w:val="008A7739"/>
    <w:rsid w:val="008B018E"/>
    <w:rsid w:val="008B04A2"/>
    <w:rsid w:val="008B2D3F"/>
    <w:rsid w:val="008B32DB"/>
    <w:rsid w:val="008B39AB"/>
    <w:rsid w:val="008B4988"/>
    <w:rsid w:val="008C07EA"/>
    <w:rsid w:val="008C2D20"/>
    <w:rsid w:val="008C434F"/>
    <w:rsid w:val="008C5B1C"/>
    <w:rsid w:val="008C7314"/>
    <w:rsid w:val="008D0746"/>
    <w:rsid w:val="008D2385"/>
    <w:rsid w:val="008D2AF1"/>
    <w:rsid w:val="008D35B9"/>
    <w:rsid w:val="008D532C"/>
    <w:rsid w:val="008D59E7"/>
    <w:rsid w:val="008E1A3F"/>
    <w:rsid w:val="008E1D24"/>
    <w:rsid w:val="008E3591"/>
    <w:rsid w:val="008E4A43"/>
    <w:rsid w:val="008E4D8C"/>
    <w:rsid w:val="008F2370"/>
    <w:rsid w:val="008F2A1E"/>
    <w:rsid w:val="008F3741"/>
    <w:rsid w:val="008F4706"/>
    <w:rsid w:val="008F5AF9"/>
    <w:rsid w:val="008F62AA"/>
    <w:rsid w:val="00903926"/>
    <w:rsid w:val="00903DA0"/>
    <w:rsid w:val="00904C37"/>
    <w:rsid w:val="00907A57"/>
    <w:rsid w:val="00911BEA"/>
    <w:rsid w:val="00912358"/>
    <w:rsid w:val="009135EB"/>
    <w:rsid w:val="00913A6F"/>
    <w:rsid w:val="009159BF"/>
    <w:rsid w:val="00915C68"/>
    <w:rsid w:val="00921EB1"/>
    <w:rsid w:val="009222EA"/>
    <w:rsid w:val="00922B50"/>
    <w:rsid w:val="00923920"/>
    <w:rsid w:val="00924DF7"/>
    <w:rsid w:val="009256E4"/>
    <w:rsid w:val="00925754"/>
    <w:rsid w:val="00927DB9"/>
    <w:rsid w:val="009303C3"/>
    <w:rsid w:val="00931C8D"/>
    <w:rsid w:val="00932D6D"/>
    <w:rsid w:val="00934187"/>
    <w:rsid w:val="0093479A"/>
    <w:rsid w:val="00937E17"/>
    <w:rsid w:val="00940536"/>
    <w:rsid w:val="00941091"/>
    <w:rsid w:val="009413D4"/>
    <w:rsid w:val="009418AC"/>
    <w:rsid w:val="00942FB8"/>
    <w:rsid w:val="0094340F"/>
    <w:rsid w:val="00944A56"/>
    <w:rsid w:val="00951C1B"/>
    <w:rsid w:val="00955709"/>
    <w:rsid w:val="00956793"/>
    <w:rsid w:val="00960B5F"/>
    <w:rsid w:val="00965BEF"/>
    <w:rsid w:val="0097189A"/>
    <w:rsid w:val="00971E91"/>
    <w:rsid w:val="009726B1"/>
    <w:rsid w:val="00973338"/>
    <w:rsid w:val="00973EBB"/>
    <w:rsid w:val="009755BF"/>
    <w:rsid w:val="00975B79"/>
    <w:rsid w:val="00981FF3"/>
    <w:rsid w:val="00983423"/>
    <w:rsid w:val="00983D02"/>
    <w:rsid w:val="009863B8"/>
    <w:rsid w:val="00987903"/>
    <w:rsid w:val="00991412"/>
    <w:rsid w:val="009915EB"/>
    <w:rsid w:val="0099281C"/>
    <w:rsid w:val="009931B5"/>
    <w:rsid w:val="0099420F"/>
    <w:rsid w:val="00995C90"/>
    <w:rsid w:val="009961A5"/>
    <w:rsid w:val="00996F1E"/>
    <w:rsid w:val="00997215"/>
    <w:rsid w:val="009A0CE7"/>
    <w:rsid w:val="009A3942"/>
    <w:rsid w:val="009A39FA"/>
    <w:rsid w:val="009A4AA3"/>
    <w:rsid w:val="009A75C8"/>
    <w:rsid w:val="009A7645"/>
    <w:rsid w:val="009A7C77"/>
    <w:rsid w:val="009A7F74"/>
    <w:rsid w:val="009B0822"/>
    <w:rsid w:val="009B0AFA"/>
    <w:rsid w:val="009B1529"/>
    <w:rsid w:val="009B2311"/>
    <w:rsid w:val="009B3AFE"/>
    <w:rsid w:val="009B71C6"/>
    <w:rsid w:val="009C2B63"/>
    <w:rsid w:val="009C3924"/>
    <w:rsid w:val="009C395D"/>
    <w:rsid w:val="009C3B08"/>
    <w:rsid w:val="009C4A1B"/>
    <w:rsid w:val="009C71F7"/>
    <w:rsid w:val="009C7407"/>
    <w:rsid w:val="009D004B"/>
    <w:rsid w:val="009D1045"/>
    <w:rsid w:val="009D4ADC"/>
    <w:rsid w:val="009D5164"/>
    <w:rsid w:val="009D5830"/>
    <w:rsid w:val="009D5A30"/>
    <w:rsid w:val="009D6B45"/>
    <w:rsid w:val="009D70C3"/>
    <w:rsid w:val="009D7AC1"/>
    <w:rsid w:val="009D7D93"/>
    <w:rsid w:val="009E0374"/>
    <w:rsid w:val="009E20F3"/>
    <w:rsid w:val="009E2612"/>
    <w:rsid w:val="009E422C"/>
    <w:rsid w:val="009E444E"/>
    <w:rsid w:val="009E487D"/>
    <w:rsid w:val="009F7E38"/>
    <w:rsid w:val="00A008A2"/>
    <w:rsid w:val="00A012CB"/>
    <w:rsid w:val="00A10A82"/>
    <w:rsid w:val="00A10E5B"/>
    <w:rsid w:val="00A11AA0"/>
    <w:rsid w:val="00A11E9A"/>
    <w:rsid w:val="00A12466"/>
    <w:rsid w:val="00A12830"/>
    <w:rsid w:val="00A13AEF"/>
    <w:rsid w:val="00A15027"/>
    <w:rsid w:val="00A16D84"/>
    <w:rsid w:val="00A1719F"/>
    <w:rsid w:val="00A1750E"/>
    <w:rsid w:val="00A17822"/>
    <w:rsid w:val="00A22672"/>
    <w:rsid w:val="00A240A3"/>
    <w:rsid w:val="00A24B43"/>
    <w:rsid w:val="00A2727A"/>
    <w:rsid w:val="00A27F32"/>
    <w:rsid w:val="00A323C2"/>
    <w:rsid w:val="00A32C1C"/>
    <w:rsid w:val="00A33F12"/>
    <w:rsid w:val="00A34327"/>
    <w:rsid w:val="00A35F69"/>
    <w:rsid w:val="00A370CD"/>
    <w:rsid w:val="00A37E0D"/>
    <w:rsid w:val="00A42474"/>
    <w:rsid w:val="00A4284D"/>
    <w:rsid w:val="00A43D13"/>
    <w:rsid w:val="00A4492D"/>
    <w:rsid w:val="00A45451"/>
    <w:rsid w:val="00A50839"/>
    <w:rsid w:val="00A50DF0"/>
    <w:rsid w:val="00A51B11"/>
    <w:rsid w:val="00A529C5"/>
    <w:rsid w:val="00A55DAE"/>
    <w:rsid w:val="00A56DDD"/>
    <w:rsid w:val="00A605AA"/>
    <w:rsid w:val="00A60C5C"/>
    <w:rsid w:val="00A60E84"/>
    <w:rsid w:val="00A62042"/>
    <w:rsid w:val="00A63B07"/>
    <w:rsid w:val="00A6400E"/>
    <w:rsid w:val="00A641BA"/>
    <w:rsid w:val="00A64579"/>
    <w:rsid w:val="00A66D17"/>
    <w:rsid w:val="00A70B65"/>
    <w:rsid w:val="00A70F89"/>
    <w:rsid w:val="00A72163"/>
    <w:rsid w:val="00A777DC"/>
    <w:rsid w:val="00A77ED1"/>
    <w:rsid w:val="00A8167F"/>
    <w:rsid w:val="00A81BBE"/>
    <w:rsid w:val="00A84501"/>
    <w:rsid w:val="00A86E69"/>
    <w:rsid w:val="00A94E07"/>
    <w:rsid w:val="00A95611"/>
    <w:rsid w:val="00A961E1"/>
    <w:rsid w:val="00AA2639"/>
    <w:rsid w:val="00AA35A0"/>
    <w:rsid w:val="00AA3A9A"/>
    <w:rsid w:val="00AA64DF"/>
    <w:rsid w:val="00AA6BC6"/>
    <w:rsid w:val="00AA6E6F"/>
    <w:rsid w:val="00AA7832"/>
    <w:rsid w:val="00AB1968"/>
    <w:rsid w:val="00AB1F61"/>
    <w:rsid w:val="00AB28D8"/>
    <w:rsid w:val="00AB3F15"/>
    <w:rsid w:val="00AB7D0D"/>
    <w:rsid w:val="00AC2CCF"/>
    <w:rsid w:val="00AC3547"/>
    <w:rsid w:val="00AC37C3"/>
    <w:rsid w:val="00AC3B7F"/>
    <w:rsid w:val="00AC4667"/>
    <w:rsid w:val="00AC53B9"/>
    <w:rsid w:val="00AC5758"/>
    <w:rsid w:val="00AC68A7"/>
    <w:rsid w:val="00AC7043"/>
    <w:rsid w:val="00AD04E5"/>
    <w:rsid w:val="00AD0B95"/>
    <w:rsid w:val="00AD1AFE"/>
    <w:rsid w:val="00AD31A5"/>
    <w:rsid w:val="00AD3888"/>
    <w:rsid w:val="00AD4F45"/>
    <w:rsid w:val="00AD7421"/>
    <w:rsid w:val="00AE0105"/>
    <w:rsid w:val="00AE199B"/>
    <w:rsid w:val="00AE3103"/>
    <w:rsid w:val="00AE3FE0"/>
    <w:rsid w:val="00AE69EA"/>
    <w:rsid w:val="00AE6F20"/>
    <w:rsid w:val="00AE7C22"/>
    <w:rsid w:val="00AF109E"/>
    <w:rsid w:val="00AF1308"/>
    <w:rsid w:val="00AF47CD"/>
    <w:rsid w:val="00AF5ADD"/>
    <w:rsid w:val="00B041F5"/>
    <w:rsid w:val="00B0496B"/>
    <w:rsid w:val="00B071F3"/>
    <w:rsid w:val="00B104EA"/>
    <w:rsid w:val="00B106AC"/>
    <w:rsid w:val="00B111D9"/>
    <w:rsid w:val="00B11646"/>
    <w:rsid w:val="00B12129"/>
    <w:rsid w:val="00B12AAA"/>
    <w:rsid w:val="00B13216"/>
    <w:rsid w:val="00B1710B"/>
    <w:rsid w:val="00B17B28"/>
    <w:rsid w:val="00B232DC"/>
    <w:rsid w:val="00B2428A"/>
    <w:rsid w:val="00B26480"/>
    <w:rsid w:val="00B264C6"/>
    <w:rsid w:val="00B3195C"/>
    <w:rsid w:val="00B327F5"/>
    <w:rsid w:val="00B339C2"/>
    <w:rsid w:val="00B341B8"/>
    <w:rsid w:val="00B3693E"/>
    <w:rsid w:val="00B36BE3"/>
    <w:rsid w:val="00B37020"/>
    <w:rsid w:val="00B411AC"/>
    <w:rsid w:val="00B433FB"/>
    <w:rsid w:val="00B5103E"/>
    <w:rsid w:val="00B51A7E"/>
    <w:rsid w:val="00B52E72"/>
    <w:rsid w:val="00B55D57"/>
    <w:rsid w:val="00B56B24"/>
    <w:rsid w:val="00B613A7"/>
    <w:rsid w:val="00B63D12"/>
    <w:rsid w:val="00B64922"/>
    <w:rsid w:val="00B64E9C"/>
    <w:rsid w:val="00B661FE"/>
    <w:rsid w:val="00B66D0E"/>
    <w:rsid w:val="00B675CF"/>
    <w:rsid w:val="00B7147E"/>
    <w:rsid w:val="00B71C5E"/>
    <w:rsid w:val="00B72EEF"/>
    <w:rsid w:val="00B7593D"/>
    <w:rsid w:val="00B77071"/>
    <w:rsid w:val="00B84264"/>
    <w:rsid w:val="00B8464B"/>
    <w:rsid w:val="00B877FC"/>
    <w:rsid w:val="00B8794D"/>
    <w:rsid w:val="00B90916"/>
    <w:rsid w:val="00B95E45"/>
    <w:rsid w:val="00BA00B6"/>
    <w:rsid w:val="00BA02CD"/>
    <w:rsid w:val="00BA2BB6"/>
    <w:rsid w:val="00BA39C0"/>
    <w:rsid w:val="00BA3BF7"/>
    <w:rsid w:val="00BA3FEA"/>
    <w:rsid w:val="00BA4A11"/>
    <w:rsid w:val="00BB1205"/>
    <w:rsid w:val="00BB141C"/>
    <w:rsid w:val="00BB3A8D"/>
    <w:rsid w:val="00BB50C1"/>
    <w:rsid w:val="00BB7A2E"/>
    <w:rsid w:val="00BC03CE"/>
    <w:rsid w:val="00BC0B48"/>
    <w:rsid w:val="00BC200F"/>
    <w:rsid w:val="00BC3305"/>
    <w:rsid w:val="00BC3CC8"/>
    <w:rsid w:val="00BC75C4"/>
    <w:rsid w:val="00BD0A86"/>
    <w:rsid w:val="00BD113F"/>
    <w:rsid w:val="00BD2960"/>
    <w:rsid w:val="00BD2DB4"/>
    <w:rsid w:val="00BD2E04"/>
    <w:rsid w:val="00BD57F5"/>
    <w:rsid w:val="00BD6A0D"/>
    <w:rsid w:val="00BD7CF5"/>
    <w:rsid w:val="00BE2961"/>
    <w:rsid w:val="00BE322F"/>
    <w:rsid w:val="00BE348F"/>
    <w:rsid w:val="00BE5C38"/>
    <w:rsid w:val="00BE6122"/>
    <w:rsid w:val="00BE735A"/>
    <w:rsid w:val="00BF0460"/>
    <w:rsid w:val="00BF0A83"/>
    <w:rsid w:val="00BF51B1"/>
    <w:rsid w:val="00BF7B13"/>
    <w:rsid w:val="00C0105E"/>
    <w:rsid w:val="00C0170B"/>
    <w:rsid w:val="00C0237A"/>
    <w:rsid w:val="00C0348D"/>
    <w:rsid w:val="00C042D0"/>
    <w:rsid w:val="00C04BDB"/>
    <w:rsid w:val="00C0632A"/>
    <w:rsid w:val="00C101AC"/>
    <w:rsid w:val="00C101DF"/>
    <w:rsid w:val="00C10FFA"/>
    <w:rsid w:val="00C12B9F"/>
    <w:rsid w:val="00C13EBE"/>
    <w:rsid w:val="00C141A1"/>
    <w:rsid w:val="00C15A77"/>
    <w:rsid w:val="00C1683A"/>
    <w:rsid w:val="00C17A7E"/>
    <w:rsid w:val="00C20D93"/>
    <w:rsid w:val="00C23819"/>
    <w:rsid w:val="00C31855"/>
    <w:rsid w:val="00C32DEC"/>
    <w:rsid w:val="00C343BF"/>
    <w:rsid w:val="00C350E7"/>
    <w:rsid w:val="00C408FC"/>
    <w:rsid w:val="00C44EF9"/>
    <w:rsid w:val="00C4558F"/>
    <w:rsid w:val="00C45BD5"/>
    <w:rsid w:val="00C50565"/>
    <w:rsid w:val="00C54B1D"/>
    <w:rsid w:val="00C5581C"/>
    <w:rsid w:val="00C56DB8"/>
    <w:rsid w:val="00C57168"/>
    <w:rsid w:val="00C5725D"/>
    <w:rsid w:val="00C60ADB"/>
    <w:rsid w:val="00C66F00"/>
    <w:rsid w:val="00C672DE"/>
    <w:rsid w:val="00C704A1"/>
    <w:rsid w:val="00C7217D"/>
    <w:rsid w:val="00C7243C"/>
    <w:rsid w:val="00C73F82"/>
    <w:rsid w:val="00C7436F"/>
    <w:rsid w:val="00C74648"/>
    <w:rsid w:val="00C75702"/>
    <w:rsid w:val="00C75BE1"/>
    <w:rsid w:val="00C80540"/>
    <w:rsid w:val="00C82E90"/>
    <w:rsid w:val="00C830B4"/>
    <w:rsid w:val="00C85DF7"/>
    <w:rsid w:val="00C9005E"/>
    <w:rsid w:val="00C90069"/>
    <w:rsid w:val="00C9035A"/>
    <w:rsid w:val="00C92109"/>
    <w:rsid w:val="00C93061"/>
    <w:rsid w:val="00C9371E"/>
    <w:rsid w:val="00C93DEE"/>
    <w:rsid w:val="00CA010D"/>
    <w:rsid w:val="00CA2E44"/>
    <w:rsid w:val="00CA305E"/>
    <w:rsid w:val="00CA7649"/>
    <w:rsid w:val="00CA7F31"/>
    <w:rsid w:val="00CA7F4B"/>
    <w:rsid w:val="00CB1DED"/>
    <w:rsid w:val="00CB3D42"/>
    <w:rsid w:val="00CB515E"/>
    <w:rsid w:val="00CB52B1"/>
    <w:rsid w:val="00CB5F93"/>
    <w:rsid w:val="00CB7EA3"/>
    <w:rsid w:val="00CC16AF"/>
    <w:rsid w:val="00CC3170"/>
    <w:rsid w:val="00CC4079"/>
    <w:rsid w:val="00CC589D"/>
    <w:rsid w:val="00CC6D80"/>
    <w:rsid w:val="00CD0054"/>
    <w:rsid w:val="00CD3B22"/>
    <w:rsid w:val="00CE0039"/>
    <w:rsid w:val="00CE1A75"/>
    <w:rsid w:val="00CE56E7"/>
    <w:rsid w:val="00CE6919"/>
    <w:rsid w:val="00CE70C9"/>
    <w:rsid w:val="00CE74ED"/>
    <w:rsid w:val="00CE7973"/>
    <w:rsid w:val="00CF2377"/>
    <w:rsid w:val="00CF3424"/>
    <w:rsid w:val="00CF34DE"/>
    <w:rsid w:val="00CF3A1E"/>
    <w:rsid w:val="00CF4CF5"/>
    <w:rsid w:val="00CF54E9"/>
    <w:rsid w:val="00CF5855"/>
    <w:rsid w:val="00CF63EA"/>
    <w:rsid w:val="00D00B8F"/>
    <w:rsid w:val="00D0173A"/>
    <w:rsid w:val="00D0324E"/>
    <w:rsid w:val="00D05AB2"/>
    <w:rsid w:val="00D068FE"/>
    <w:rsid w:val="00D0789F"/>
    <w:rsid w:val="00D07B48"/>
    <w:rsid w:val="00D10663"/>
    <w:rsid w:val="00D1069F"/>
    <w:rsid w:val="00D1413F"/>
    <w:rsid w:val="00D14F0B"/>
    <w:rsid w:val="00D160DA"/>
    <w:rsid w:val="00D22D14"/>
    <w:rsid w:val="00D232F6"/>
    <w:rsid w:val="00D254FD"/>
    <w:rsid w:val="00D270A6"/>
    <w:rsid w:val="00D271DE"/>
    <w:rsid w:val="00D2741F"/>
    <w:rsid w:val="00D30444"/>
    <w:rsid w:val="00D304A7"/>
    <w:rsid w:val="00D3193F"/>
    <w:rsid w:val="00D32703"/>
    <w:rsid w:val="00D33040"/>
    <w:rsid w:val="00D34F2F"/>
    <w:rsid w:val="00D360D6"/>
    <w:rsid w:val="00D427FF"/>
    <w:rsid w:val="00D447A1"/>
    <w:rsid w:val="00D4511F"/>
    <w:rsid w:val="00D51676"/>
    <w:rsid w:val="00D52046"/>
    <w:rsid w:val="00D523A5"/>
    <w:rsid w:val="00D529D9"/>
    <w:rsid w:val="00D52D4B"/>
    <w:rsid w:val="00D549B1"/>
    <w:rsid w:val="00D54F72"/>
    <w:rsid w:val="00D614A7"/>
    <w:rsid w:val="00D646BD"/>
    <w:rsid w:val="00D64F5F"/>
    <w:rsid w:val="00D65F40"/>
    <w:rsid w:val="00D714DD"/>
    <w:rsid w:val="00D71B8F"/>
    <w:rsid w:val="00D72C1F"/>
    <w:rsid w:val="00D732EF"/>
    <w:rsid w:val="00D736AC"/>
    <w:rsid w:val="00D74346"/>
    <w:rsid w:val="00D743F5"/>
    <w:rsid w:val="00D769D7"/>
    <w:rsid w:val="00D83E32"/>
    <w:rsid w:val="00D83E52"/>
    <w:rsid w:val="00D841C1"/>
    <w:rsid w:val="00D84CC9"/>
    <w:rsid w:val="00D86C5F"/>
    <w:rsid w:val="00D87608"/>
    <w:rsid w:val="00D87FAC"/>
    <w:rsid w:val="00D90E73"/>
    <w:rsid w:val="00D91923"/>
    <w:rsid w:val="00D92034"/>
    <w:rsid w:val="00D926F0"/>
    <w:rsid w:val="00D962D5"/>
    <w:rsid w:val="00DA0642"/>
    <w:rsid w:val="00DA0A18"/>
    <w:rsid w:val="00DA144F"/>
    <w:rsid w:val="00DA3F36"/>
    <w:rsid w:val="00DA719B"/>
    <w:rsid w:val="00DA7986"/>
    <w:rsid w:val="00DB013C"/>
    <w:rsid w:val="00DB08E1"/>
    <w:rsid w:val="00DB113C"/>
    <w:rsid w:val="00DB2566"/>
    <w:rsid w:val="00DB3B09"/>
    <w:rsid w:val="00DB3C44"/>
    <w:rsid w:val="00DB5D18"/>
    <w:rsid w:val="00DC099E"/>
    <w:rsid w:val="00DC14D7"/>
    <w:rsid w:val="00DC5178"/>
    <w:rsid w:val="00DC5576"/>
    <w:rsid w:val="00DC564B"/>
    <w:rsid w:val="00DC6E13"/>
    <w:rsid w:val="00DC7760"/>
    <w:rsid w:val="00DC7FB4"/>
    <w:rsid w:val="00DD0447"/>
    <w:rsid w:val="00DD15CB"/>
    <w:rsid w:val="00DD1AF2"/>
    <w:rsid w:val="00DD46F3"/>
    <w:rsid w:val="00DE1621"/>
    <w:rsid w:val="00DE2C49"/>
    <w:rsid w:val="00DE5ECF"/>
    <w:rsid w:val="00DE61C1"/>
    <w:rsid w:val="00DE7438"/>
    <w:rsid w:val="00DF01C4"/>
    <w:rsid w:val="00DF26B8"/>
    <w:rsid w:val="00DF302A"/>
    <w:rsid w:val="00DF4F7C"/>
    <w:rsid w:val="00DF5AAA"/>
    <w:rsid w:val="00DF79A3"/>
    <w:rsid w:val="00DF7A1C"/>
    <w:rsid w:val="00E0164F"/>
    <w:rsid w:val="00E018D6"/>
    <w:rsid w:val="00E046DA"/>
    <w:rsid w:val="00E0470A"/>
    <w:rsid w:val="00E0474D"/>
    <w:rsid w:val="00E04F55"/>
    <w:rsid w:val="00E0516D"/>
    <w:rsid w:val="00E104B7"/>
    <w:rsid w:val="00E10BED"/>
    <w:rsid w:val="00E15D04"/>
    <w:rsid w:val="00E16073"/>
    <w:rsid w:val="00E16267"/>
    <w:rsid w:val="00E167B6"/>
    <w:rsid w:val="00E16CD4"/>
    <w:rsid w:val="00E20A74"/>
    <w:rsid w:val="00E2159F"/>
    <w:rsid w:val="00E234C8"/>
    <w:rsid w:val="00E3506B"/>
    <w:rsid w:val="00E350CD"/>
    <w:rsid w:val="00E36618"/>
    <w:rsid w:val="00E3707B"/>
    <w:rsid w:val="00E41131"/>
    <w:rsid w:val="00E41DD1"/>
    <w:rsid w:val="00E42266"/>
    <w:rsid w:val="00E42A5C"/>
    <w:rsid w:val="00E432B5"/>
    <w:rsid w:val="00E44B94"/>
    <w:rsid w:val="00E469A5"/>
    <w:rsid w:val="00E47E47"/>
    <w:rsid w:val="00E54AF1"/>
    <w:rsid w:val="00E555EF"/>
    <w:rsid w:val="00E57B38"/>
    <w:rsid w:val="00E67980"/>
    <w:rsid w:val="00E73FDC"/>
    <w:rsid w:val="00E75A44"/>
    <w:rsid w:val="00E805B0"/>
    <w:rsid w:val="00E80C78"/>
    <w:rsid w:val="00E8131C"/>
    <w:rsid w:val="00E82174"/>
    <w:rsid w:val="00E8222A"/>
    <w:rsid w:val="00E82400"/>
    <w:rsid w:val="00E829EB"/>
    <w:rsid w:val="00E82A5D"/>
    <w:rsid w:val="00E8351B"/>
    <w:rsid w:val="00E87736"/>
    <w:rsid w:val="00E9158D"/>
    <w:rsid w:val="00E91914"/>
    <w:rsid w:val="00E92F31"/>
    <w:rsid w:val="00E949D7"/>
    <w:rsid w:val="00EA0268"/>
    <w:rsid w:val="00EA0AB4"/>
    <w:rsid w:val="00EA16BD"/>
    <w:rsid w:val="00EA1B6F"/>
    <w:rsid w:val="00EA2781"/>
    <w:rsid w:val="00EA7199"/>
    <w:rsid w:val="00EB0C48"/>
    <w:rsid w:val="00EB2A7B"/>
    <w:rsid w:val="00EB31B8"/>
    <w:rsid w:val="00EB59E7"/>
    <w:rsid w:val="00EB5DCA"/>
    <w:rsid w:val="00EB6E04"/>
    <w:rsid w:val="00EB6EE8"/>
    <w:rsid w:val="00EB74C2"/>
    <w:rsid w:val="00EB7C1B"/>
    <w:rsid w:val="00EB7E59"/>
    <w:rsid w:val="00EC08C9"/>
    <w:rsid w:val="00EC12F6"/>
    <w:rsid w:val="00EC2D5E"/>
    <w:rsid w:val="00EC325A"/>
    <w:rsid w:val="00EC3E71"/>
    <w:rsid w:val="00EC6A16"/>
    <w:rsid w:val="00ED0C35"/>
    <w:rsid w:val="00ED4702"/>
    <w:rsid w:val="00ED5071"/>
    <w:rsid w:val="00EE1F5F"/>
    <w:rsid w:val="00EE2156"/>
    <w:rsid w:val="00EE2215"/>
    <w:rsid w:val="00EE2EEB"/>
    <w:rsid w:val="00EE2F73"/>
    <w:rsid w:val="00EE60D7"/>
    <w:rsid w:val="00EF17E2"/>
    <w:rsid w:val="00EF3CAD"/>
    <w:rsid w:val="00EF3DBA"/>
    <w:rsid w:val="00EF3F48"/>
    <w:rsid w:val="00EF44C0"/>
    <w:rsid w:val="00EF44D7"/>
    <w:rsid w:val="00EF467C"/>
    <w:rsid w:val="00EF556B"/>
    <w:rsid w:val="00F02D89"/>
    <w:rsid w:val="00F035CF"/>
    <w:rsid w:val="00F03A33"/>
    <w:rsid w:val="00F045E7"/>
    <w:rsid w:val="00F11008"/>
    <w:rsid w:val="00F11C73"/>
    <w:rsid w:val="00F148E0"/>
    <w:rsid w:val="00F1512D"/>
    <w:rsid w:val="00F15BF8"/>
    <w:rsid w:val="00F15D16"/>
    <w:rsid w:val="00F1681A"/>
    <w:rsid w:val="00F178C1"/>
    <w:rsid w:val="00F2051A"/>
    <w:rsid w:val="00F207E3"/>
    <w:rsid w:val="00F2605F"/>
    <w:rsid w:val="00F27892"/>
    <w:rsid w:val="00F27AEF"/>
    <w:rsid w:val="00F302BA"/>
    <w:rsid w:val="00F3169A"/>
    <w:rsid w:val="00F327B3"/>
    <w:rsid w:val="00F32ECB"/>
    <w:rsid w:val="00F3534D"/>
    <w:rsid w:val="00F3578D"/>
    <w:rsid w:val="00F365F9"/>
    <w:rsid w:val="00F40852"/>
    <w:rsid w:val="00F413F8"/>
    <w:rsid w:val="00F42820"/>
    <w:rsid w:val="00F43575"/>
    <w:rsid w:val="00F46377"/>
    <w:rsid w:val="00F47B0A"/>
    <w:rsid w:val="00F55302"/>
    <w:rsid w:val="00F64347"/>
    <w:rsid w:val="00F6486F"/>
    <w:rsid w:val="00F64A4C"/>
    <w:rsid w:val="00F66450"/>
    <w:rsid w:val="00F66DED"/>
    <w:rsid w:val="00F66EC4"/>
    <w:rsid w:val="00F704D3"/>
    <w:rsid w:val="00F70917"/>
    <w:rsid w:val="00F70C72"/>
    <w:rsid w:val="00F75A3D"/>
    <w:rsid w:val="00F761E0"/>
    <w:rsid w:val="00F80B59"/>
    <w:rsid w:val="00F821DA"/>
    <w:rsid w:val="00F845F9"/>
    <w:rsid w:val="00F8640C"/>
    <w:rsid w:val="00F86B1B"/>
    <w:rsid w:val="00F90DD4"/>
    <w:rsid w:val="00F91D6C"/>
    <w:rsid w:val="00F92FDE"/>
    <w:rsid w:val="00F93DDA"/>
    <w:rsid w:val="00F947E5"/>
    <w:rsid w:val="00FA0B4C"/>
    <w:rsid w:val="00FA2C1D"/>
    <w:rsid w:val="00FA679D"/>
    <w:rsid w:val="00FA70C6"/>
    <w:rsid w:val="00FA75E5"/>
    <w:rsid w:val="00FB00D6"/>
    <w:rsid w:val="00FB21D4"/>
    <w:rsid w:val="00FB22C9"/>
    <w:rsid w:val="00FB2F43"/>
    <w:rsid w:val="00FB364E"/>
    <w:rsid w:val="00FB3D3B"/>
    <w:rsid w:val="00FB4377"/>
    <w:rsid w:val="00FB6048"/>
    <w:rsid w:val="00FB71FF"/>
    <w:rsid w:val="00FB7380"/>
    <w:rsid w:val="00FC1256"/>
    <w:rsid w:val="00FC1418"/>
    <w:rsid w:val="00FC1C14"/>
    <w:rsid w:val="00FC375C"/>
    <w:rsid w:val="00FC3941"/>
    <w:rsid w:val="00FC3F0C"/>
    <w:rsid w:val="00FD0675"/>
    <w:rsid w:val="00FD2A07"/>
    <w:rsid w:val="00FD2BC3"/>
    <w:rsid w:val="00FD397C"/>
    <w:rsid w:val="00FD3A99"/>
    <w:rsid w:val="00FD5221"/>
    <w:rsid w:val="00FD5823"/>
    <w:rsid w:val="00FD73A1"/>
    <w:rsid w:val="00FE23DC"/>
    <w:rsid w:val="00FE2597"/>
    <w:rsid w:val="00FE345F"/>
    <w:rsid w:val="00FE3967"/>
    <w:rsid w:val="00FF2CD0"/>
    <w:rsid w:val="00FF386C"/>
    <w:rsid w:val="00FF57FC"/>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8370">
      <o:colormru v:ext="edit" colors="#10499a,#963,#330,#030,#066,#6cf,#f9f,black"/>
      <o:colormenu v:ext="edit" fillcolor="#030" strokecolor="#10499a" shadow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footnote text" w:uiPriority="99"/>
    <w:lsdException w:name="footer" w:uiPriority="99"/>
    <w:lsdException w:name="caption" w:qFormat="1"/>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D113F"/>
    <w:pPr>
      <w:spacing w:before="60" w:after="120" w:line="288" w:lineRule="auto"/>
      <w:ind w:firstLine="284"/>
      <w:jc w:val="both"/>
    </w:pPr>
    <w:rPr>
      <w:rFonts w:ascii="Arial" w:hAnsi="Arial" w:cs="Tahoma"/>
      <w:sz w:val="22"/>
      <w:lang w:eastAsia="es-ES"/>
    </w:rPr>
  </w:style>
  <w:style w:type="paragraph" w:styleId="Ttulo1">
    <w:name w:val="heading 1"/>
    <w:basedOn w:val="Normal"/>
    <w:next w:val="Ttulodendice"/>
    <w:autoRedefine/>
    <w:qFormat/>
    <w:rsid w:val="0042599E"/>
    <w:pPr>
      <w:pageBreakBefore/>
      <w:numPr>
        <w:numId w:val="56"/>
      </w:numPr>
      <w:spacing w:before="120"/>
      <w:jc w:val="left"/>
      <w:outlineLvl w:val="0"/>
    </w:pPr>
    <w:rPr>
      <w:rFonts w:ascii="Myriad Web Pro" w:hAnsi="Myriad Web Pro"/>
      <w:b/>
      <w:bCs/>
      <w:smallCaps/>
      <w:color w:val="214F75"/>
      <w:sz w:val="40"/>
      <w:szCs w:val="40"/>
    </w:rPr>
  </w:style>
  <w:style w:type="paragraph" w:styleId="Ttulo2">
    <w:name w:val="heading 2"/>
    <w:basedOn w:val="Normal"/>
    <w:next w:val="Normal"/>
    <w:autoRedefine/>
    <w:qFormat/>
    <w:rsid w:val="0039370B"/>
    <w:pPr>
      <w:keepNext/>
      <w:numPr>
        <w:ilvl w:val="1"/>
        <w:numId w:val="56"/>
      </w:numPr>
      <w:spacing w:before="120" w:after="240"/>
      <w:jc w:val="left"/>
      <w:outlineLvl w:val="1"/>
    </w:pPr>
    <w:rPr>
      <w:b/>
      <w:smallCaps/>
      <w:color w:val="214F75"/>
      <w:sz w:val="28"/>
      <w:szCs w:val="24"/>
    </w:rPr>
  </w:style>
  <w:style w:type="paragraph" w:styleId="Ttulo3">
    <w:name w:val="heading 3"/>
    <w:basedOn w:val="Normal"/>
    <w:next w:val="Normal"/>
    <w:autoRedefine/>
    <w:qFormat/>
    <w:rsid w:val="002D54D4"/>
    <w:pPr>
      <w:keepNext/>
      <w:numPr>
        <w:ilvl w:val="2"/>
        <w:numId w:val="56"/>
      </w:numPr>
      <w:spacing w:before="120"/>
      <w:jc w:val="left"/>
      <w:outlineLvl w:val="2"/>
    </w:pPr>
    <w:rPr>
      <w:rFonts w:cs="Arial"/>
      <w:b/>
      <w:color w:val="214F75"/>
      <w:sz w:val="28"/>
      <w:szCs w:val="24"/>
    </w:rPr>
  </w:style>
  <w:style w:type="paragraph" w:styleId="Ttulo4">
    <w:name w:val="heading 4"/>
    <w:basedOn w:val="Normal"/>
    <w:next w:val="Normal"/>
    <w:autoRedefine/>
    <w:qFormat/>
    <w:rsid w:val="00B63D12"/>
    <w:pPr>
      <w:keepNext/>
      <w:numPr>
        <w:ilvl w:val="3"/>
        <w:numId w:val="56"/>
      </w:numPr>
      <w:spacing w:before="40" w:after="60"/>
      <w:jc w:val="left"/>
      <w:outlineLvl w:val="3"/>
    </w:pPr>
    <w:rPr>
      <w:rFonts w:cs="Arial"/>
      <w:i/>
      <w:color w:val="214F75"/>
      <w:u w:val="single" w:color="000080"/>
    </w:rPr>
  </w:style>
  <w:style w:type="paragraph" w:styleId="Ttulo5">
    <w:name w:val="heading 5"/>
    <w:basedOn w:val="Normal"/>
    <w:next w:val="Normal"/>
    <w:autoRedefine/>
    <w:qFormat/>
    <w:rsid w:val="00B63D12"/>
    <w:pPr>
      <w:keepNext/>
      <w:numPr>
        <w:ilvl w:val="4"/>
        <w:numId w:val="56"/>
      </w:numPr>
      <w:spacing w:before="40" w:after="60"/>
      <w:jc w:val="left"/>
      <w:outlineLvl w:val="4"/>
    </w:pPr>
    <w:rPr>
      <w:rFonts w:cs="Arial"/>
      <w:bCs/>
      <w:i/>
      <w:color w:val="214F75"/>
      <w:u w:val="words"/>
    </w:rPr>
  </w:style>
  <w:style w:type="paragraph" w:styleId="Ttulo6">
    <w:name w:val="heading 6"/>
    <w:basedOn w:val="Normal"/>
    <w:next w:val="Normal"/>
    <w:autoRedefine/>
    <w:qFormat/>
    <w:rsid w:val="00B63D12"/>
    <w:pPr>
      <w:keepNext/>
      <w:numPr>
        <w:ilvl w:val="5"/>
        <w:numId w:val="56"/>
      </w:numPr>
      <w:spacing w:before="40" w:after="40"/>
      <w:jc w:val="left"/>
      <w:outlineLvl w:val="5"/>
    </w:pPr>
    <w:rPr>
      <w:rFonts w:cs="Arial"/>
      <w:i/>
      <w:color w:val="214F71"/>
    </w:rPr>
  </w:style>
  <w:style w:type="paragraph" w:styleId="Ttulo7">
    <w:name w:val="heading 7"/>
    <w:basedOn w:val="Normal"/>
    <w:next w:val="Normal"/>
    <w:qFormat/>
    <w:rsid w:val="00B63D12"/>
    <w:pPr>
      <w:numPr>
        <w:ilvl w:val="6"/>
        <w:numId w:val="56"/>
      </w:numPr>
      <w:spacing w:before="40" w:after="40"/>
      <w:outlineLvl w:val="6"/>
    </w:pPr>
    <w:rPr>
      <w:i/>
      <w:color w:val="000080"/>
      <w:szCs w:val="24"/>
    </w:rPr>
  </w:style>
  <w:style w:type="paragraph" w:styleId="Ttulo8">
    <w:name w:val="heading 8"/>
    <w:basedOn w:val="Normal"/>
    <w:next w:val="Normal"/>
    <w:qFormat/>
    <w:rsid w:val="00B63D12"/>
    <w:pPr>
      <w:numPr>
        <w:ilvl w:val="7"/>
        <w:numId w:val="56"/>
      </w:numPr>
      <w:spacing w:before="40" w:after="20"/>
      <w:outlineLvl w:val="7"/>
    </w:pPr>
    <w:rPr>
      <w:i/>
      <w:iCs/>
      <w:color w:val="000080"/>
      <w:szCs w:val="24"/>
    </w:rPr>
  </w:style>
  <w:style w:type="paragraph" w:styleId="Ttulo9">
    <w:name w:val="heading 9"/>
    <w:basedOn w:val="Normal"/>
    <w:next w:val="Normal"/>
    <w:qFormat/>
    <w:rsid w:val="00B63D12"/>
    <w:pPr>
      <w:numPr>
        <w:ilvl w:val="8"/>
        <w:numId w:val="56"/>
      </w:numPr>
      <w:spacing w:before="20" w:after="20"/>
      <w:outlineLvl w:val="8"/>
    </w:pPr>
    <w:rPr>
      <w:rFonts w:cs="Arial"/>
      <w:i/>
      <w:color w:val="000080"/>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basedOn w:val="Normal"/>
    <w:next w:val="Normal"/>
    <w:autoRedefine/>
    <w:uiPriority w:val="39"/>
    <w:qFormat/>
    <w:rsid w:val="005A0BB8"/>
    <w:pPr>
      <w:spacing w:before="120"/>
      <w:jc w:val="left"/>
    </w:pPr>
    <w:rPr>
      <w:rFonts w:ascii="Times New Roman" w:hAnsi="Times New Roman" w:cs="Times New Roman"/>
      <w:b/>
      <w:bCs/>
      <w:caps/>
      <w:sz w:val="20"/>
    </w:rPr>
  </w:style>
  <w:style w:type="paragraph" w:styleId="TDC2">
    <w:name w:val="toc 2"/>
    <w:basedOn w:val="Normal"/>
    <w:next w:val="Normal"/>
    <w:autoRedefine/>
    <w:uiPriority w:val="39"/>
    <w:qFormat/>
    <w:rsid w:val="005A0BB8"/>
    <w:pPr>
      <w:spacing w:after="40"/>
      <w:ind w:left="238"/>
      <w:jc w:val="left"/>
    </w:pPr>
    <w:rPr>
      <w:rFonts w:ascii="Times New Roman" w:hAnsi="Times New Roman" w:cs="Times New Roman"/>
      <w:smallCaps/>
      <w:sz w:val="20"/>
    </w:rPr>
  </w:style>
  <w:style w:type="paragraph" w:styleId="TDC3">
    <w:name w:val="toc 3"/>
    <w:basedOn w:val="Normal"/>
    <w:next w:val="Normal"/>
    <w:autoRedefine/>
    <w:uiPriority w:val="39"/>
    <w:qFormat/>
    <w:rsid w:val="005A0BB8"/>
    <w:pPr>
      <w:spacing w:before="40" w:after="40"/>
      <w:ind w:left="482"/>
      <w:jc w:val="left"/>
    </w:pPr>
    <w:rPr>
      <w:rFonts w:ascii="Times New Roman" w:hAnsi="Times New Roman" w:cs="Times New Roman"/>
      <w:i/>
      <w:iCs/>
      <w:sz w:val="20"/>
    </w:rPr>
  </w:style>
  <w:style w:type="paragraph" w:styleId="TDC4">
    <w:name w:val="toc 4"/>
    <w:basedOn w:val="Normal"/>
    <w:next w:val="Normal"/>
    <w:autoRedefine/>
    <w:uiPriority w:val="39"/>
    <w:rsid w:val="005A0BB8"/>
    <w:pPr>
      <w:spacing w:before="20" w:after="20"/>
      <w:ind w:left="720"/>
      <w:jc w:val="left"/>
    </w:pPr>
    <w:rPr>
      <w:rFonts w:ascii="Times New Roman" w:hAnsi="Times New Roman" w:cs="Times New Roman"/>
      <w:sz w:val="18"/>
      <w:szCs w:val="18"/>
    </w:rPr>
  </w:style>
  <w:style w:type="paragraph" w:styleId="TDC5">
    <w:name w:val="toc 5"/>
    <w:basedOn w:val="Normal"/>
    <w:next w:val="Normal"/>
    <w:autoRedefine/>
    <w:uiPriority w:val="39"/>
    <w:rsid w:val="005A0BB8"/>
    <w:pPr>
      <w:spacing w:before="0" w:after="0"/>
      <w:ind w:left="958"/>
      <w:jc w:val="left"/>
    </w:pPr>
    <w:rPr>
      <w:rFonts w:ascii="Times New Roman" w:hAnsi="Times New Roman" w:cs="Times New Roman"/>
      <w:sz w:val="18"/>
      <w:szCs w:val="18"/>
    </w:rPr>
  </w:style>
  <w:style w:type="paragraph" w:styleId="TDC6">
    <w:name w:val="toc 6"/>
    <w:basedOn w:val="Normal"/>
    <w:next w:val="Normal"/>
    <w:autoRedefine/>
    <w:semiHidden/>
    <w:rsid w:val="005A0BB8"/>
    <w:pPr>
      <w:spacing w:before="0" w:after="0"/>
      <w:ind w:left="1202"/>
      <w:jc w:val="left"/>
    </w:pPr>
    <w:rPr>
      <w:rFonts w:ascii="Times New Roman" w:hAnsi="Times New Roman" w:cs="Times New Roman"/>
      <w:sz w:val="18"/>
      <w:szCs w:val="18"/>
    </w:rPr>
  </w:style>
  <w:style w:type="paragraph" w:styleId="TDC7">
    <w:name w:val="toc 7"/>
    <w:basedOn w:val="Normal"/>
    <w:next w:val="Normal"/>
    <w:autoRedefine/>
    <w:semiHidden/>
    <w:rsid w:val="005A0BB8"/>
    <w:pPr>
      <w:spacing w:before="0" w:after="0"/>
      <w:ind w:left="1440"/>
      <w:jc w:val="left"/>
    </w:pPr>
    <w:rPr>
      <w:rFonts w:ascii="Times New Roman" w:hAnsi="Times New Roman" w:cs="Times New Roman"/>
      <w:sz w:val="18"/>
      <w:szCs w:val="18"/>
    </w:rPr>
  </w:style>
  <w:style w:type="paragraph" w:styleId="Mapadeldocumento">
    <w:name w:val="Document Map"/>
    <w:basedOn w:val="Normal"/>
    <w:semiHidden/>
    <w:rsid w:val="00432BFB"/>
    <w:pPr>
      <w:shd w:val="clear" w:color="auto" w:fill="000080"/>
    </w:pPr>
    <w:rPr>
      <w:rFonts w:ascii="Tahoma" w:hAnsi="Tahoma"/>
      <w:sz w:val="20"/>
    </w:rPr>
  </w:style>
  <w:style w:type="paragraph" w:styleId="TDC8">
    <w:name w:val="toc 8"/>
    <w:basedOn w:val="Normal"/>
    <w:next w:val="Normal"/>
    <w:autoRedefine/>
    <w:semiHidden/>
    <w:rsid w:val="005A0BB8"/>
    <w:pPr>
      <w:spacing w:before="0" w:after="0"/>
      <w:ind w:left="1678"/>
      <w:jc w:val="left"/>
    </w:pPr>
    <w:rPr>
      <w:rFonts w:ascii="Times New Roman" w:hAnsi="Times New Roman" w:cs="Times New Roman"/>
      <w:sz w:val="18"/>
      <w:szCs w:val="18"/>
    </w:rPr>
  </w:style>
  <w:style w:type="paragraph" w:styleId="TDC9">
    <w:name w:val="toc 9"/>
    <w:basedOn w:val="Normal"/>
    <w:next w:val="Normal"/>
    <w:autoRedefine/>
    <w:semiHidden/>
    <w:rsid w:val="005A0BB8"/>
    <w:pPr>
      <w:spacing w:before="0" w:after="0"/>
      <w:ind w:left="1922"/>
      <w:jc w:val="left"/>
    </w:pPr>
    <w:rPr>
      <w:rFonts w:ascii="Times New Roman" w:hAnsi="Times New Roman" w:cs="Times New Roman"/>
      <w:sz w:val="18"/>
      <w:szCs w:val="18"/>
    </w:rPr>
  </w:style>
  <w:style w:type="character" w:styleId="Hipervnculo">
    <w:name w:val="Hyperlink"/>
    <w:basedOn w:val="Fuentedeprrafopredeter"/>
    <w:uiPriority w:val="99"/>
    <w:rsid w:val="00174B68"/>
    <w:rPr>
      <w:color w:val="0000FF"/>
      <w:u w:val="single"/>
    </w:rPr>
  </w:style>
  <w:style w:type="paragraph" w:customStyle="1" w:styleId="Inciso">
    <w:name w:val="Inciso"/>
    <w:basedOn w:val="Normal"/>
    <w:rsid w:val="00432BFB"/>
    <w:pPr>
      <w:widowControl w:val="0"/>
      <w:pBdr>
        <w:bottom w:val="single" w:sz="6" w:space="1" w:color="auto"/>
        <w:between w:val="single" w:sz="6" w:space="1" w:color="auto"/>
      </w:pBdr>
      <w:autoSpaceDE w:val="0"/>
      <w:autoSpaceDN w:val="0"/>
      <w:adjustRightInd w:val="0"/>
      <w:spacing w:before="192" w:after="192"/>
    </w:pPr>
    <w:rPr>
      <w:rFonts w:ascii="Helvetica" w:hAnsi="Helvetica"/>
      <w:smallCaps/>
      <w:sz w:val="32"/>
      <w:szCs w:val="32"/>
      <w:lang w:val="en-GB"/>
    </w:rPr>
  </w:style>
  <w:style w:type="paragraph" w:styleId="Piedepgina">
    <w:name w:val="footer"/>
    <w:basedOn w:val="Normal"/>
    <w:link w:val="PiedepginaCar"/>
    <w:uiPriority w:val="99"/>
    <w:rsid w:val="00EF44C0"/>
    <w:pPr>
      <w:tabs>
        <w:tab w:val="center" w:pos="4419"/>
        <w:tab w:val="right" w:pos="8838"/>
      </w:tabs>
      <w:spacing w:before="40"/>
    </w:pPr>
    <w:rPr>
      <w:sz w:val="16"/>
      <w:szCs w:val="16"/>
    </w:rPr>
  </w:style>
  <w:style w:type="character" w:styleId="Nmerodepgina">
    <w:name w:val="page number"/>
    <w:basedOn w:val="Fuentedeprrafopredeter"/>
    <w:rsid w:val="00E167B6"/>
    <w:rPr>
      <w:rFonts w:ascii="Arial Rounded MT Bold" w:hAnsi="Arial Rounded MT Bold"/>
      <w:color w:val="000080"/>
      <w:sz w:val="20"/>
      <w:szCs w:val="20"/>
    </w:rPr>
  </w:style>
  <w:style w:type="paragraph" w:customStyle="1" w:styleId="Fuente">
    <w:name w:val="Fuente"/>
    <w:basedOn w:val="Normal"/>
    <w:next w:val="Normal"/>
    <w:autoRedefine/>
    <w:rsid w:val="000E44A0"/>
    <w:pPr>
      <w:ind w:left="57" w:firstLine="0"/>
      <w:jc w:val="left"/>
    </w:pPr>
    <w:rPr>
      <w:rFonts w:cs="Arial"/>
      <w:sz w:val="18"/>
      <w:szCs w:val="18"/>
    </w:rPr>
  </w:style>
  <w:style w:type="character" w:customStyle="1" w:styleId="CONTENIDO">
    <w:name w:val="CONTENIDO"/>
    <w:basedOn w:val="Fuentedeprrafopredeter"/>
    <w:rsid w:val="005B32A5"/>
    <w:rPr>
      <w:rFonts w:ascii="Times New Roman" w:hAnsi="Times New Roman"/>
      <w:smallCaps/>
      <w:color w:val="000080"/>
      <w:sz w:val="28"/>
      <w:szCs w:val="28"/>
    </w:rPr>
  </w:style>
  <w:style w:type="paragraph" w:customStyle="1" w:styleId="figura1cap10">
    <w:name w:val="figura 1 cap10"/>
    <w:basedOn w:val="Normal"/>
    <w:next w:val="Normal"/>
    <w:autoRedefine/>
    <w:rsid w:val="000404CA"/>
    <w:pPr>
      <w:numPr>
        <w:numId w:val="12"/>
      </w:numPr>
      <w:pBdr>
        <w:bottom w:val="single" w:sz="4" w:space="1" w:color="214F75"/>
      </w:pBdr>
      <w:spacing w:after="80"/>
      <w:ind w:left="0" w:firstLine="0"/>
      <w:jc w:val="left"/>
    </w:pPr>
    <w:rPr>
      <w:i/>
      <w:color w:val="214F75"/>
    </w:rPr>
  </w:style>
  <w:style w:type="paragraph" w:customStyle="1" w:styleId="Tabla1">
    <w:name w:val="Tabla 1"/>
    <w:basedOn w:val="Normal"/>
    <w:next w:val="Normal"/>
    <w:autoRedefine/>
    <w:rsid w:val="003916B5"/>
    <w:pPr>
      <w:numPr>
        <w:numId w:val="32"/>
      </w:numPr>
      <w:pBdr>
        <w:bottom w:val="single" w:sz="4" w:space="1" w:color="214F75"/>
      </w:pBdr>
      <w:jc w:val="left"/>
    </w:pPr>
    <w:rPr>
      <w:i/>
      <w:color w:val="214F75"/>
    </w:rPr>
  </w:style>
  <w:style w:type="paragraph" w:customStyle="1" w:styleId="Cuadro1cap4">
    <w:name w:val="Cuadro 1 cap4"/>
    <w:basedOn w:val="Normal"/>
    <w:next w:val="Normal"/>
    <w:autoRedefine/>
    <w:rsid w:val="00D3193F"/>
    <w:pPr>
      <w:numPr>
        <w:numId w:val="15"/>
      </w:numPr>
      <w:pBdr>
        <w:bottom w:val="single" w:sz="4" w:space="1" w:color="214F75"/>
      </w:pBdr>
      <w:ind w:left="0" w:firstLine="0"/>
      <w:jc w:val="left"/>
    </w:pPr>
    <w:rPr>
      <w:i/>
      <w:color w:val="214F75"/>
    </w:rPr>
  </w:style>
  <w:style w:type="paragraph" w:customStyle="1" w:styleId="figura1cap4">
    <w:name w:val="figura 1 cap4"/>
    <w:basedOn w:val="Normal"/>
    <w:next w:val="Normal"/>
    <w:autoRedefine/>
    <w:rsid w:val="00B327F5"/>
    <w:pPr>
      <w:numPr>
        <w:numId w:val="6"/>
      </w:numPr>
      <w:pBdr>
        <w:bottom w:val="single" w:sz="4" w:space="1" w:color="214F75"/>
      </w:pBdr>
      <w:ind w:left="0" w:firstLine="0"/>
      <w:jc w:val="left"/>
    </w:pPr>
    <w:rPr>
      <w:i/>
      <w:color w:val="214F75"/>
    </w:rPr>
  </w:style>
  <w:style w:type="paragraph" w:customStyle="1" w:styleId="Tabla1cap2">
    <w:name w:val="Tabla 1 cap2"/>
    <w:basedOn w:val="Normal"/>
    <w:next w:val="Normal"/>
    <w:autoRedefine/>
    <w:rsid w:val="003916B5"/>
    <w:pPr>
      <w:numPr>
        <w:numId w:val="1"/>
      </w:numPr>
      <w:pBdr>
        <w:bottom w:val="single" w:sz="4" w:space="1" w:color="214F75"/>
      </w:pBdr>
      <w:jc w:val="left"/>
    </w:pPr>
    <w:rPr>
      <w:i/>
      <w:color w:val="214F75"/>
    </w:rPr>
  </w:style>
  <w:style w:type="paragraph" w:customStyle="1" w:styleId="Cuadro1">
    <w:name w:val="Cuadro 1"/>
    <w:basedOn w:val="Normal"/>
    <w:next w:val="Normal"/>
    <w:autoRedefine/>
    <w:rsid w:val="00D3193F"/>
    <w:pPr>
      <w:numPr>
        <w:numId w:val="31"/>
      </w:numPr>
      <w:pBdr>
        <w:bottom w:val="single" w:sz="4" w:space="1" w:color="214F75"/>
      </w:pBdr>
      <w:jc w:val="left"/>
    </w:pPr>
    <w:rPr>
      <w:i/>
      <w:color w:val="214F75"/>
      <w:lang w:val="en-US"/>
    </w:rPr>
  </w:style>
  <w:style w:type="paragraph" w:customStyle="1" w:styleId="IGH">
    <w:name w:val="IGH"/>
    <w:basedOn w:val="Normal"/>
    <w:next w:val="Normal"/>
    <w:link w:val="IGHCarCar"/>
    <w:rsid w:val="00B63D12"/>
    <w:pPr>
      <w:ind w:firstLine="0"/>
      <w:jc w:val="left"/>
    </w:pPr>
    <w:rPr>
      <w:rFonts w:ascii="Arial Rounded MT Bold" w:hAnsi="Arial Rounded MT Bold"/>
      <w:color w:val="214F75"/>
      <w:sz w:val="20"/>
      <w:u w:val="single"/>
      <w:lang w:val="pt-BR"/>
    </w:rPr>
  </w:style>
  <w:style w:type="character" w:customStyle="1" w:styleId="IGHCarCar">
    <w:name w:val="IGH Car Car"/>
    <w:basedOn w:val="Fuentedeprrafopredeter"/>
    <w:link w:val="IGH"/>
    <w:rsid w:val="00B63D12"/>
    <w:rPr>
      <w:rFonts w:ascii="Arial Rounded MT Bold" w:eastAsia="Batang" w:hAnsi="Arial Rounded MT Bold" w:cs="Tahoma"/>
      <w:color w:val="214F75"/>
      <w:u w:val="single"/>
      <w:lang w:val="pt-BR" w:eastAsia="es-ES" w:bidi="ar-SA"/>
    </w:rPr>
  </w:style>
  <w:style w:type="paragraph" w:customStyle="1" w:styleId="Tabla1cap14">
    <w:name w:val="Tabla 1 cap14"/>
    <w:basedOn w:val="Normal"/>
    <w:autoRedefine/>
    <w:rsid w:val="00D72C1F"/>
    <w:pPr>
      <w:numPr>
        <w:numId w:val="60"/>
      </w:numPr>
      <w:pBdr>
        <w:bottom w:val="single" w:sz="4" w:space="1" w:color="214F75"/>
      </w:pBdr>
      <w:tabs>
        <w:tab w:val="left" w:pos="1217"/>
      </w:tabs>
      <w:jc w:val="left"/>
    </w:pPr>
    <w:rPr>
      <w:i/>
      <w:color w:val="214F75"/>
      <w:lang w:val="es-ES"/>
    </w:rPr>
  </w:style>
  <w:style w:type="paragraph" w:customStyle="1" w:styleId="figura1cap5">
    <w:name w:val="figura 1 cap5"/>
    <w:basedOn w:val="Normal"/>
    <w:next w:val="Normal"/>
    <w:autoRedefine/>
    <w:rsid w:val="00B327F5"/>
    <w:pPr>
      <w:numPr>
        <w:numId w:val="7"/>
      </w:numPr>
      <w:pBdr>
        <w:bottom w:val="single" w:sz="4" w:space="1" w:color="214F75"/>
      </w:pBdr>
      <w:jc w:val="left"/>
    </w:pPr>
    <w:rPr>
      <w:i/>
      <w:color w:val="214F75"/>
    </w:rPr>
  </w:style>
  <w:style w:type="paragraph" w:customStyle="1" w:styleId="figura1cap6">
    <w:name w:val="figura 1 cap6"/>
    <w:basedOn w:val="Normal"/>
    <w:next w:val="Normal"/>
    <w:autoRedefine/>
    <w:rsid w:val="00B327F5"/>
    <w:pPr>
      <w:numPr>
        <w:numId w:val="8"/>
      </w:numPr>
      <w:pBdr>
        <w:bottom w:val="single" w:sz="4" w:space="1" w:color="214F75"/>
      </w:pBdr>
      <w:jc w:val="left"/>
    </w:pPr>
    <w:rPr>
      <w:i/>
      <w:color w:val="214F75"/>
    </w:rPr>
  </w:style>
  <w:style w:type="paragraph" w:customStyle="1" w:styleId="Tabla15cap1">
    <w:name w:val="Tabla 15 cap 1"/>
    <w:basedOn w:val="Normal"/>
    <w:autoRedefine/>
    <w:rsid w:val="00A60C5C"/>
    <w:pPr>
      <w:numPr>
        <w:numId w:val="61"/>
      </w:numPr>
      <w:pBdr>
        <w:bottom w:val="single" w:sz="4" w:space="1" w:color="214F75"/>
      </w:pBdr>
      <w:tabs>
        <w:tab w:val="left" w:pos="1217"/>
      </w:tabs>
      <w:jc w:val="left"/>
    </w:pPr>
    <w:rPr>
      <w:i/>
      <w:color w:val="214F75"/>
      <w:lang w:val="es-ES"/>
    </w:rPr>
  </w:style>
  <w:style w:type="paragraph" w:styleId="Textoindependiente3">
    <w:name w:val="Body Text 3"/>
    <w:basedOn w:val="Normal"/>
    <w:rsid w:val="00801EF5"/>
    <w:pPr>
      <w:spacing w:after="0"/>
      <w:jc w:val="center"/>
    </w:pPr>
    <w:rPr>
      <w:rFonts w:ascii="Bookman Old Style" w:eastAsia="Times New Roman" w:hAnsi="Bookman Old Style"/>
      <w:b/>
      <w:color w:val="000080"/>
      <w:sz w:val="12"/>
      <w:lang w:val="es-ES_tradnl"/>
    </w:rPr>
  </w:style>
  <w:style w:type="paragraph" w:styleId="Textoindependiente2">
    <w:name w:val="Body Text 2"/>
    <w:basedOn w:val="Normal"/>
    <w:rsid w:val="00801EF5"/>
    <w:pPr>
      <w:spacing w:after="0"/>
      <w:jc w:val="left"/>
    </w:pPr>
    <w:rPr>
      <w:rFonts w:ascii="Bookman Old Style" w:eastAsia="Times New Roman" w:hAnsi="Bookman Old Style"/>
      <w:sz w:val="12"/>
      <w:lang w:val="es-ES_tradnl"/>
    </w:rPr>
  </w:style>
  <w:style w:type="paragraph" w:styleId="Textoindependiente">
    <w:name w:val="Body Text"/>
    <w:basedOn w:val="Normal"/>
    <w:rsid w:val="0056400D"/>
  </w:style>
  <w:style w:type="paragraph" w:customStyle="1" w:styleId="figura1cap1">
    <w:name w:val="figura 1 cap1"/>
    <w:basedOn w:val="Normal"/>
    <w:next w:val="Normal"/>
    <w:autoRedefine/>
    <w:rsid w:val="00B327F5"/>
    <w:pPr>
      <w:numPr>
        <w:numId w:val="4"/>
      </w:numPr>
      <w:pBdr>
        <w:bottom w:val="single" w:sz="4" w:space="1" w:color="214F75"/>
      </w:pBdr>
      <w:jc w:val="left"/>
    </w:pPr>
    <w:rPr>
      <w:i/>
      <w:color w:val="214F75"/>
    </w:rPr>
  </w:style>
  <w:style w:type="paragraph" w:customStyle="1" w:styleId="figura1cap2">
    <w:name w:val="figura 1 cap2"/>
    <w:basedOn w:val="Normal"/>
    <w:next w:val="Normal"/>
    <w:autoRedefine/>
    <w:rsid w:val="00B327F5"/>
    <w:pPr>
      <w:numPr>
        <w:numId w:val="2"/>
      </w:numPr>
      <w:pBdr>
        <w:bottom w:val="single" w:sz="4" w:space="1" w:color="214F75"/>
      </w:pBdr>
      <w:jc w:val="left"/>
    </w:pPr>
    <w:rPr>
      <w:i/>
      <w:color w:val="214F75"/>
    </w:rPr>
  </w:style>
  <w:style w:type="paragraph" w:customStyle="1" w:styleId="figura1cap3">
    <w:name w:val="figura1 cap3"/>
    <w:basedOn w:val="Normal"/>
    <w:next w:val="Normal"/>
    <w:autoRedefine/>
    <w:rsid w:val="00B327F5"/>
    <w:pPr>
      <w:numPr>
        <w:numId w:val="5"/>
      </w:numPr>
      <w:pBdr>
        <w:bottom w:val="single" w:sz="4" w:space="1" w:color="214F75"/>
      </w:pBdr>
      <w:jc w:val="left"/>
    </w:pPr>
    <w:rPr>
      <w:i/>
      <w:color w:val="214F75"/>
    </w:rPr>
  </w:style>
  <w:style w:type="paragraph" w:customStyle="1" w:styleId="figura1cap7">
    <w:name w:val="figura 1 cap7"/>
    <w:basedOn w:val="Normal"/>
    <w:next w:val="Normal"/>
    <w:autoRedefine/>
    <w:rsid w:val="00B327F5"/>
    <w:pPr>
      <w:numPr>
        <w:numId w:val="9"/>
      </w:numPr>
      <w:pBdr>
        <w:bottom w:val="single" w:sz="4" w:space="1" w:color="214F75"/>
      </w:pBdr>
      <w:ind w:left="0" w:firstLine="0"/>
      <w:jc w:val="left"/>
    </w:pPr>
    <w:rPr>
      <w:i/>
      <w:color w:val="214F75"/>
    </w:rPr>
  </w:style>
  <w:style w:type="paragraph" w:customStyle="1" w:styleId="figura1cap8">
    <w:name w:val="figura 1 cap8"/>
    <w:basedOn w:val="Normal"/>
    <w:next w:val="Normal"/>
    <w:autoRedefine/>
    <w:rsid w:val="00B327F5"/>
    <w:pPr>
      <w:numPr>
        <w:numId w:val="10"/>
      </w:numPr>
      <w:pBdr>
        <w:bottom w:val="single" w:sz="4" w:space="1" w:color="214F75"/>
      </w:pBdr>
      <w:ind w:left="0" w:firstLine="0"/>
      <w:jc w:val="left"/>
    </w:pPr>
    <w:rPr>
      <w:i/>
      <w:color w:val="214F75"/>
    </w:rPr>
  </w:style>
  <w:style w:type="paragraph" w:styleId="Textocomentario">
    <w:name w:val="annotation text"/>
    <w:basedOn w:val="Normal"/>
    <w:semiHidden/>
    <w:rsid w:val="00CB1DED"/>
    <w:rPr>
      <w:sz w:val="20"/>
    </w:rPr>
  </w:style>
  <w:style w:type="paragraph" w:styleId="Asuntodelcomentario">
    <w:name w:val="annotation subject"/>
    <w:basedOn w:val="Textocomentario"/>
    <w:next w:val="Textocomentario"/>
    <w:semiHidden/>
    <w:rsid w:val="00CB1DED"/>
    <w:rPr>
      <w:b/>
      <w:bCs/>
    </w:rPr>
  </w:style>
  <w:style w:type="paragraph" w:customStyle="1" w:styleId="figura1cap9">
    <w:name w:val="figura1 cap9"/>
    <w:basedOn w:val="Normal"/>
    <w:next w:val="Normal"/>
    <w:autoRedefine/>
    <w:rsid w:val="00B327F5"/>
    <w:pPr>
      <w:numPr>
        <w:numId w:val="11"/>
      </w:numPr>
      <w:pBdr>
        <w:bottom w:val="single" w:sz="4" w:space="1" w:color="214F75"/>
      </w:pBdr>
      <w:ind w:left="0" w:firstLine="0"/>
      <w:jc w:val="left"/>
    </w:pPr>
    <w:rPr>
      <w:i/>
      <w:color w:val="214F75"/>
    </w:rPr>
  </w:style>
  <w:style w:type="paragraph" w:customStyle="1" w:styleId="cuadro1cap1">
    <w:name w:val="cuadro 1 cap1"/>
    <w:basedOn w:val="Normal"/>
    <w:next w:val="Normal"/>
    <w:autoRedefine/>
    <w:rsid w:val="00D3193F"/>
    <w:pPr>
      <w:numPr>
        <w:numId w:val="3"/>
      </w:numPr>
      <w:pBdr>
        <w:bottom w:val="single" w:sz="4" w:space="1" w:color="214F75"/>
      </w:pBdr>
      <w:ind w:left="357" w:hanging="357"/>
      <w:jc w:val="left"/>
    </w:pPr>
    <w:rPr>
      <w:i/>
      <w:color w:val="214F75"/>
    </w:rPr>
  </w:style>
  <w:style w:type="paragraph" w:customStyle="1" w:styleId="cuadro1cap2">
    <w:name w:val="cuadro 1 cap2"/>
    <w:basedOn w:val="Normal"/>
    <w:next w:val="Normal"/>
    <w:autoRedefine/>
    <w:rsid w:val="00D3193F"/>
    <w:pPr>
      <w:numPr>
        <w:numId w:val="13"/>
      </w:numPr>
      <w:pBdr>
        <w:bottom w:val="single" w:sz="4" w:space="1" w:color="214F75"/>
      </w:pBdr>
      <w:ind w:left="357" w:hanging="357"/>
      <w:jc w:val="left"/>
    </w:pPr>
    <w:rPr>
      <w:i/>
      <w:color w:val="214F75"/>
      <w:lang w:val="en-US"/>
    </w:rPr>
  </w:style>
  <w:style w:type="paragraph" w:customStyle="1" w:styleId="Cuadro1cap3">
    <w:name w:val="Cuadro 1 cap3"/>
    <w:basedOn w:val="Normal"/>
    <w:autoRedefine/>
    <w:rsid w:val="00D3193F"/>
    <w:pPr>
      <w:numPr>
        <w:numId w:val="14"/>
      </w:numPr>
      <w:pBdr>
        <w:bottom w:val="single" w:sz="4" w:space="1" w:color="214F75"/>
      </w:pBdr>
      <w:ind w:left="0" w:firstLine="0"/>
      <w:jc w:val="left"/>
    </w:pPr>
    <w:rPr>
      <w:i/>
      <w:color w:val="214F75"/>
    </w:rPr>
  </w:style>
  <w:style w:type="paragraph" w:customStyle="1" w:styleId="cuadro1cap5">
    <w:name w:val="cuadro 1 cap5"/>
    <w:basedOn w:val="Normal"/>
    <w:next w:val="Normal"/>
    <w:autoRedefine/>
    <w:rsid w:val="00D3193F"/>
    <w:pPr>
      <w:numPr>
        <w:numId w:val="16"/>
      </w:numPr>
      <w:pBdr>
        <w:bottom w:val="single" w:sz="4" w:space="1" w:color="214F75"/>
      </w:pBdr>
      <w:ind w:left="0" w:firstLine="0"/>
      <w:jc w:val="left"/>
    </w:pPr>
    <w:rPr>
      <w:i/>
      <w:color w:val="214F75"/>
    </w:rPr>
  </w:style>
  <w:style w:type="paragraph" w:customStyle="1" w:styleId="cuadro1cap6">
    <w:name w:val="cuadro 1 cap6"/>
    <w:basedOn w:val="Cuadro1"/>
    <w:next w:val="Normal"/>
    <w:autoRedefine/>
    <w:rsid w:val="00997215"/>
    <w:pPr>
      <w:numPr>
        <w:numId w:val="17"/>
      </w:numPr>
    </w:pPr>
  </w:style>
  <w:style w:type="paragraph" w:customStyle="1" w:styleId="cuadro1cap7">
    <w:name w:val="cuadro 1 cap7"/>
    <w:basedOn w:val="Normal"/>
    <w:next w:val="Normal"/>
    <w:autoRedefine/>
    <w:rsid w:val="00D3193F"/>
    <w:pPr>
      <w:numPr>
        <w:numId w:val="18"/>
      </w:numPr>
      <w:pBdr>
        <w:bottom w:val="single" w:sz="4" w:space="1" w:color="214F75"/>
      </w:pBdr>
      <w:ind w:left="0" w:firstLine="0"/>
      <w:jc w:val="left"/>
    </w:pPr>
    <w:rPr>
      <w:i/>
      <w:color w:val="214F75"/>
    </w:rPr>
  </w:style>
  <w:style w:type="paragraph" w:customStyle="1" w:styleId="cuadro1cap8">
    <w:name w:val="cuadro 1 cap8"/>
    <w:basedOn w:val="Normal"/>
    <w:next w:val="Normal"/>
    <w:autoRedefine/>
    <w:rsid w:val="00D3193F"/>
    <w:pPr>
      <w:numPr>
        <w:numId w:val="19"/>
      </w:numPr>
      <w:pBdr>
        <w:bottom w:val="single" w:sz="4" w:space="1" w:color="214F75"/>
      </w:pBdr>
      <w:ind w:left="0" w:firstLine="0"/>
      <w:jc w:val="left"/>
    </w:pPr>
    <w:rPr>
      <w:i/>
      <w:color w:val="214F75"/>
    </w:rPr>
  </w:style>
  <w:style w:type="paragraph" w:customStyle="1" w:styleId="Figura1cap11">
    <w:name w:val="Figura1 cap11"/>
    <w:basedOn w:val="Normal"/>
    <w:autoRedefine/>
    <w:rsid w:val="009D5164"/>
    <w:pPr>
      <w:numPr>
        <w:numId w:val="62"/>
      </w:numPr>
      <w:pBdr>
        <w:bottom w:val="single" w:sz="4" w:space="1" w:color="214F75"/>
      </w:pBdr>
      <w:tabs>
        <w:tab w:val="left" w:pos="1217"/>
      </w:tabs>
      <w:jc w:val="left"/>
    </w:pPr>
    <w:rPr>
      <w:i/>
      <w:color w:val="214F75"/>
      <w:lang w:val="en-US"/>
    </w:rPr>
  </w:style>
  <w:style w:type="paragraph" w:customStyle="1" w:styleId="Cuadro1cap9">
    <w:name w:val="Cuadro 1 cap9"/>
    <w:basedOn w:val="Normal"/>
    <w:next w:val="Normal"/>
    <w:autoRedefine/>
    <w:rsid w:val="00D3193F"/>
    <w:pPr>
      <w:numPr>
        <w:numId w:val="20"/>
      </w:numPr>
      <w:pBdr>
        <w:bottom w:val="single" w:sz="4" w:space="1" w:color="214F75"/>
      </w:pBdr>
      <w:ind w:left="0" w:firstLine="0"/>
      <w:jc w:val="left"/>
    </w:pPr>
    <w:rPr>
      <w:i/>
      <w:color w:val="214F75"/>
    </w:rPr>
  </w:style>
  <w:style w:type="paragraph" w:customStyle="1" w:styleId="Cuadro1cap10">
    <w:name w:val="Cuadro 1 cap10"/>
    <w:basedOn w:val="Normal"/>
    <w:next w:val="Normal"/>
    <w:autoRedefine/>
    <w:rsid w:val="00D3193F"/>
    <w:pPr>
      <w:numPr>
        <w:numId w:val="21"/>
      </w:numPr>
      <w:pBdr>
        <w:bottom w:val="single" w:sz="4" w:space="1" w:color="214F75"/>
      </w:pBdr>
      <w:ind w:left="0" w:firstLine="0"/>
      <w:jc w:val="left"/>
    </w:pPr>
    <w:rPr>
      <w:i/>
      <w:color w:val="214F75"/>
      <w:lang w:val="en-US"/>
    </w:rPr>
  </w:style>
  <w:style w:type="paragraph" w:styleId="Encabezado">
    <w:name w:val="header"/>
    <w:basedOn w:val="Normal"/>
    <w:link w:val="EncabezadoCar"/>
    <w:rsid w:val="00114869"/>
    <w:pPr>
      <w:tabs>
        <w:tab w:val="center" w:pos="4419"/>
        <w:tab w:val="right" w:pos="8838"/>
      </w:tabs>
    </w:pPr>
    <w:rPr>
      <w:rFonts w:cs="Times New Roman"/>
    </w:rPr>
  </w:style>
  <w:style w:type="paragraph" w:customStyle="1" w:styleId="tabla1cap1">
    <w:name w:val="tabla 1 cap1"/>
    <w:basedOn w:val="Normal"/>
    <w:next w:val="Normal"/>
    <w:autoRedefine/>
    <w:rsid w:val="003916B5"/>
    <w:pPr>
      <w:numPr>
        <w:numId w:val="22"/>
      </w:numPr>
      <w:pBdr>
        <w:bottom w:val="single" w:sz="4" w:space="1" w:color="214F75"/>
      </w:pBdr>
      <w:jc w:val="left"/>
    </w:pPr>
    <w:rPr>
      <w:i/>
      <w:color w:val="214F75"/>
    </w:rPr>
  </w:style>
  <w:style w:type="paragraph" w:customStyle="1" w:styleId="Tabla1cap3">
    <w:name w:val="Tabla 1 cap3"/>
    <w:basedOn w:val="Normal"/>
    <w:next w:val="Normal"/>
    <w:autoRedefine/>
    <w:rsid w:val="003916B5"/>
    <w:pPr>
      <w:numPr>
        <w:numId w:val="23"/>
      </w:numPr>
      <w:pBdr>
        <w:bottom w:val="single" w:sz="4" w:space="1" w:color="214F75"/>
      </w:pBdr>
      <w:ind w:left="0" w:firstLine="0"/>
      <w:jc w:val="left"/>
    </w:pPr>
    <w:rPr>
      <w:i/>
      <w:color w:val="214F75"/>
    </w:rPr>
  </w:style>
  <w:style w:type="paragraph" w:customStyle="1" w:styleId="Tabla1cap4">
    <w:name w:val="Tabla 1 cap4"/>
    <w:basedOn w:val="Normal"/>
    <w:next w:val="Normal"/>
    <w:autoRedefine/>
    <w:rsid w:val="003916B5"/>
    <w:pPr>
      <w:numPr>
        <w:numId w:val="24"/>
      </w:numPr>
      <w:pBdr>
        <w:bottom w:val="single" w:sz="4" w:space="1" w:color="214F75"/>
      </w:pBdr>
      <w:ind w:left="0" w:firstLine="0"/>
      <w:jc w:val="left"/>
    </w:pPr>
    <w:rPr>
      <w:i/>
      <w:color w:val="214F75"/>
    </w:rPr>
  </w:style>
  <w:style w:type="paragraph" w:customStyle="1" w:styleId="Tabla1cap5">
    <w:name w:val="Tabla 1 cap5"/>
    <w:basedOn w:val="Normal"/>
    <w:next w:val="Normal"/>
    <w:autoRedefine/>
    <w:rsid w:val="003916B5"/>
    <w:pPr>
      <w:numPr>
        <w:numId w:val="25"/>
      </w:numPr>
      <w:pBdr>
        <w:bottom w:val="single" w:sz="4" w:space="1" w:color="214F75"/>
      </w:pBdr>
      <w:jc w:val="left"/>
    </w:pPr>
    <w:rPr>
      <w:i/>
      <w:color w:val="214F75"/>
    </w:rPr>
  </w:style>
  <w:style w:type="paragraph" w:customStyle="1" w:styleId="Tabla1cap6">
    <w:name w:val="Tabla 1 cap6"/>
    <w:basedOn w:val="Normal"/>
    <w:next w:val="Normal"/>
    <w:autoRedefine/>
    <w:rsid w:val="003916B5"/>
    <w:pPr>
      <w:numPr>
        <w:numId w:val="26"/>
      </w:numPr>
      <w:pBdr>
        <w:bottom w:val="single" w:sz="4" w:space="1" w:color="214F75"/>
      </w:pBdr>
      <w:jc w:val="left"/>
    </w:pPr>
    <w:rPr>
      <w:i/>
      <w:color w:val="214F75"/>
    </w:rPr>
  </w:style>
  <w:style w:type="paragraph" w:customStyle="1" w:styleId="Tabla1cap7">
    <w:name w:val="Tabla 1 cap7"/>
    <w:basedOn w:val="Normal"/>
    <w:next w:val="Normal"/>
    <w:autoRedefine/>
    <w:rsid w:val="003916B5"/>
    <w:pPr>
      <w:numPr>
        <w:numId w:val="27"/>
      </w:numPr>
      <w:pBdr>
        <w:bottom w:val="single" w:sz="4" w:space="1" w:color="214F75"/>
      </w:pBdr>
      <w:ind w:left="0" w:firstLine="0"/>
      <w:jc w:val="left"/>
    </w:pPr>
    <w:rPr>
      <w:i/>
      <w:color w:val="214F75"/>
    </w:rPr>
  </w:style>
  <w:style w:type="paragraph" w:customStyle="1" w:styleId="tabla1cap8">
    <w:name w:val="tabla 1 cap8"/>
    <w:basedOn w:val="Normal"/>
    <w:next w:val="Normal"/>
    <w:autoRedefine/>
    <w:rsid w:val="003916B5"/>
    <w:pPr>
      <w:numPr>
        <w:numId w:val="28"/>
      </w:numPr>
      <w:pBdr>
        <w:bottom w:val="single" w:sz="4" w:space="1" w:color="214F75"/>
      </w:pBdr>
      <w:ind w:left="0" w:firstLine="0"/>
      <w:jc w:val="left"/>
    </w:pPr>
    <w:rPr>
      <w:i/>
      <w:color w:val="214F75"/>
    </w:rPr>
  </w:style>
  <w:style w:type="paragraph" w:customStyle="1" w:styleId="Tabla1cap9">
    <w:name w:val="Tabla 1 cap9"/>
    <w:basedOn w:val="Normal"/>
    <w:next w:val="Normal"/>
    <w:autoRedefine/>
    <w:rsid w:val="00023A36"/>
    <w:pPr>
      <w:numPr>
        <w:numId w:val="29"/>
      </w:numPr>
      <w:pBdr>
        <w:bottom w:val="single" w:sz="4" w:space="1" w:color="214F75"/>
      </w:pBdr>
      <w:ind w:left="0" w:firstLine="0"/>
      <w:jc w:val="left"/>
    </w:pPr>
    <w:rPr>
      <w:i/>
      <w:color w:val="214F75"/>
    </w:rPr>
  </w:style>
  <w:style w:type="paragraph" w:customStyle="1" w:styleId="Tabla1cap10">
    <w:name w:val="Tabla 1 cap10"/>
    <w:basedOn w:val="Normal"/>
    <w:next w:val="Normal"/>
    <w:autoRedefine/>
    <w:rsid w:val="003916B5"/>
    <w:pPr>
      <w:numPr>
        <w:numId w:val="30"/>
      </w:numPr>
      <w:pBdr>
        <w:bottom w:val="single" w:sz="4" w:space="1" w:color="214F75"/>
      </w:pBdr>
      <w:ind w:left="0" w:firstLine="0"/>
      <w:jc w:val="left"/>
    </w:pPr>
    <w:rPr>
      <w:i/>
      <w:color w:val="214F75"/>
    </w:rPr>
  </w:style>
  <w:style w:type="paragraph" w:customStyle="1" w:styleId="Figura1">
    <w:name w:val="Figura 1"/>
    <w:basedOn w:val="Normal"/>
    <w:next w:val="Normal"/>
    <w:autoRedefine/>
    <w:rsid w:val="00B327F5"/>
    <w:pPr>
      <w:numPr>
        <w:numId w:val="33"/>
      </w:numPr>
      <w:pBdr>
        <w:bottom w:val="single" w:sz="4" w:space="1" w:color="214F75"/>
      </w:pBdr>
      <w:jc w:val="left"/>
    </w:pPr>
    <w:rPr>
      <w:i/>
      <w:color w:val="214F75"/>
    </w:rPr>
  </w:style>
  <w:style w:type="paragraph" w:customStyle="1" w:styleId="Fotografia1">
    <w:name w:val="Fotografia 1"/>
    <w:basedOn w:val="Normal"/>
    <w:next w:val="Normal"/>
    <w:autoRedefine/>
    <w:rsid w:val="00D743F5"/>
    <w:pPr>
      <w:numPr>
        <w:numId w:val="34"/>
      </w:numPr>
      <w:pBdr>
        <w:bottom w:val="single" w:sz="4" w:space="1" w:color="214F75"/>
      </w:pBdr>
      <w:jc w:val="left"/>
    </w:pPr>
    <w:rPr>
      <w:i/>
      <w:color w:val="214F75"/>
    </w:rPr>
  </w:style>
  <w:style w:type="paragraph" w:customStyle="1" w:styleId="Grafica1">
    <w:name w:val="Grafica 1"/>
    <w:basedOn w:val="Normal"/>
    <w:next w:val="Normal"/>
    <w:autoRedefine/>
    <w:rsid w:val="000404CA"/>
    <w:pPr>
      <w:numPr>
        <w:numId w:val="35"/>
      </w:numPr>
      <w:pBdr>
        <w:bottom w:val="single" w:sz="4" w:space="1" w:color="214F75"/>
      </w:pBdr>
      <w:ind w:left="0" w:firstLine="0"/>
      <w:jc w:val="left"/>
    </w:pPr>
    <w:rPr>
      <w:i/>
      <w:color w:val="214F75"/>
    </w:rPr>
  </w:style>
  <w:style w:type="paragraph" w:customStyle="1" w:styleId="Fotografia1cap1">
    <w:name w:val="Fotografia 1 cap1"/>
    <w:basedOn w:val="Normal"/>
    <w:autoRedefine/>
    <w:rsid w:val="00D743F5"/>
    <w:pPr>
      <w:numPr>
        <w:numId w:val="36"/>
      </w:numPr>
      <w:pBdr>
        <w:bottom w:val="single" w:sz="4" w:space="1" w:color="214F75"/>
      </w:pBdr>
      <w:jc w:val="left"/>
    </w:pPr>
    <w:rPr>
      <w:i/>
      <w:color w:val="214F75"/>
    </w:rPr>
  </w:style>
  <w:style w:type="paragraph" w:customStyle="1" w:styleId="Fotografia1cap2">
    <w:name w:val="Fotografia 1 cap2"/>
    <w:basedOn w:val="Normal"/>
    <w:next w:val="Normal"/>
    <w:autoRedefine/>
    <w:rsid w:val="00D743F5"/>
    <w:pPr>
      <w:numPr>
        <w:numId w:val="37"/>
      </w:numPr>
      <w:pBdr>
        <w:bottom w:val="single" w:sz="4" w:space="1" w:color="214F75"/>
      </w:pBdr>
      <w:jc w:val="left"/>
    </w:pPr>
    <w:rPr>
      <w:i/>
      <w:color w:val="214F75"/>
    </w:rPr>
  </w:style>
  <w:style w:type="paragraph" w:customStyle="1" w:styleId="Fotografia1cap3">
    <w:name w:val="Fotografia 1 cap3"/>
    <w:basedOn w:val="Normal"/>
    <w:next w:val="Normal"/>
    <w:autoRedefine/>
    <w:rsid w:val="00D743F5"/>
    <w:pPr>
      <w:numPr>
        <w:numId w:val="38"/>
      </w:numPr>
      <w:pBdr>
        <w:bottom w:val="single" w:sz="4" w:space="1" w:color="214F75"/>
      </w:pBdr>
      <w:jc w:val="left"/>
    </w:pPr>
    <w:rPr>
      <w:i/>
      <w:color w:val="214F75"/>
    </w:rPr>
  </w:style>
  <w:style w:type="paragraph" w:customStyle="1" w:styleId="Fotografia1cap4">
    <w:name w:val="Fotografia 1 cap4"/>
    <w:basedOn w:val="Normal"/>
    <w:next w:val="Normal"/>
    <w:autoRedefine/>
    <w:rsid w:val="00D743F5"/>
    <w:pPr>
      <w:numPr>
        <w:numId w:val="39"/>
      </w:numPr>
      <w:pBdr>
        <w:bottom w:val="single" w:sz="4" w:space="1" w:color="214F75"/>
      </w:pBdr>
      <w:jc w:val="left"/>
    </w:pPr>
    <w:rPr>
      <w:i/>
      <w:color w:val="214F75"/>
      <w:lang w:val="en-US"/>
    </w:rPr>
  </w:style>
  <w:style w:type="paragraph" w:customStyle="1" w:styleId="Fotografia1cap5">
    <w:name w:val="Fotografia 1 cap5"/>
    <w:basedOn w:val="Normal"/>
    <w:next w:val="Normal"/>
    <w:autoRedefine/>
    <w:rsid w:val="00D743F5"/>
    <w:pPr>
      <w:numPr>
        <w:numId w:val="40"/>
      </w:numPr>
      <w:pBdr>
        <w:bottom w:val="single" w:sz="4" w:space="1" w:color="214F75"/>
      </w:pBdr>
      <w:jc w:val="left"/>
    </w:pPr>
    <w:rPr>
      <w:i/>
      <w:color w:val="214F75"/>
    </w:rPr>
  </w:style>
  <w:style w:type="paragraph" w:customStyle="1" w:styleId="Fotografia1cap6">
    <w:name w:val="Fotografia 1 cap6"/>
    <w:basedOn w:val="Normal"/>
    <w:next w:val="Normal"/>
    <w:autoRedefine/>
    <w:rsid w:val="00D743F5"/>
    <w:pPr>
      <w:numPr>
        <w:numId w:val="41"/>
      </w:numPr>
      <w:pBdr>
        <w:bottom w:val="single" w:sz="4" w:space="1" w:color="214F75"/>
      </w:pBdr>
      <w:ind w:left="0" w:firstLine="0"/>
      <w:jc w:val="left"/>
    </w:pPr>
    <w:rPr>
      <w:i/>
      <w:color w:val="214F75"/>
    </w:rPr>
  </w:style>
  <w:style w:type="paragraph" w:customStyle="1" w:styleId="Fotografa1cap7">
    <w:name w:val="Fotografía 1 cap7"/>
    <w:basedOn w:val="Normal"/>
    <w:next w:val="Normal"/>
    <w:autoRedefine/>
    <w:rsid w:val="00D743F5"/>
    <w:pPr>
      <w:numPr>
        <w:numId w:val="42"/>
      </w:numPr>
      <w:pBdr>
        <w:bottom w:val="single" w:sz="4" w:space="1" w:color="214F75"/>
      </w:pBdr>
      <w:jc w:val="left"/>
    </w:pPr>
    <w:rPr>
      <w:i/>
      <w:color w:val="214E75"/>
    </w:rPr>
  </w:style>
  <w:style w:type="paragraph" w:customStyle="1" w:styleId="Fotografa1cap8">
    <w:name w:val="Fotografía 1 cap8"/>
    <w:basedOn w:val="Normal"/>
    <w:next w:val="Normal"/>
    <w:autoRedefine/>
    <w:rsid w:val="00D743F5"/>
    <w:pPr>
      <w:numPr>
        <w:numId w:val="43"/>
      </w:numPr>
      <w:pBdr>
        <w:bottom w:val="single" w:sz="4" w:space="1" w:color="214F75"/>
      </w:pBdr>
      <w:jc w:val="left"/>
    </w:pPr>
    <w:rPr>
      <w:i/>
      <w:color w:val="214F75"/>
    </w:rPr>
  </w:style>
  <w:style w:type="paragraph" w:customStyle="1" w:styleId="Fotografia1cap9">
    <w:name w:val="Fotografia 1 cap9"/>
    <w:basedOn w:val="Normal"/>
    <w:next w:val="Normal"/>
    <w:autoRedefine/>
    <w:rsid w:val="00D743F5"/>
    <w:pPr>
      <w:numPr>
        <w:numId w:val="44"/>
      </w:numPr>
      <w:pBdr>
        <w:bottom w:val="single" w:sz="4" w:space="1" w:color="214F75"/>
      </w:pBdr>
      <w:jc w:val="left"/>
    </w:pPr>
    <w:rPr>
      <w:i/>
      <w:color w:val="214F75"/>
    </w:rPr>
  </w:style>
  <w:style w:type="paragraph" w:customStyle="1" w:styleId="Fotografia1cap10">
    <w:name w:val="Fotografia 1 cap10"/>
    <w:basedOn w:val="Normal"/>
    <w:next w:val="Normal"/>
    <w:autoRedefine/>
    <w:rsid w:val="00D743F5"/>
    <w:pPr>
      <w:numPr>
        <w:numId w:val="45"/>
      </w:numPr>
      <w:pBdr>
        <w:bottom w:val="single" w:sz="4" w:space="1" w:color="214F75"/>
      </w:pBdr>
      <w:jc w:val="left"/>
    </w:pPr>
    <w:rPr>
      <w:i/>
      <w:color w:val="214F75"/>
    </w:rPr>
  </w:style>
  <w:style w:type="paragraph" w:customStyle="1" w:styleId="Grafica1cap1">
    <w:name w:val="Grafica 1 cap1"/>
    <w:basedOn w:val="Lista2"/>
    <w:next w:val="Normal"/>
    <w:autoRedefine/>
    <w:rsid w:val="000404CA"/>
    <w:pPr>
      <w:numPr>
        <w:numId w:val="46"/>
      </w:numPr>
      <w:pBdr>
        <w:bottom w:val="single" w:sz="4" w:space="1" w:color="214F75"/>
      </w:pBdr>
      <w:jc w:val="left"/>
    </w:pPr>
    <w:rPr>
      <w:i/>
      <w:color w:val="214F75"/>
    </w:rPr>
  </w:style>
  <w:style w:type="paragraph" w:customStyle="1" w:styleId="Grafica1cap2">
    <w:name w:val="Grafica 1 cap2"/>
    <w:basedOn w:val="Normal"/>
    <w:next w:val="Normal"/>
    <w:autoRedefine/>
    <w:rsid w:val="000404CA"/>
    <w:pPr>
      <w:numPr>
        <w:numId w:val="47"/>
      </w:numPr>
      <w:pBdr>
        <w:bottom w:val="single" w:sz="4" w:space="1" w:color="214F75"/>
      </w:pBdr>
      <w:jc w:val="left"/>
    </w:pPr>
    <w:rPr>
      <w:i/>
      <w:color w:val="214F75"/>
    </w:rPr>
  </w:style>
  <w:style w:type="paragraph" w:customStyle="1" w:styleId="Grafica1cap3">
    <w:name w:val="Grafica 1 cap3"/>
    <w:basedOn w:val="Normal"/>
    <w:next w:val="Normal"/>
    <w:autoRedefine/>
    <w:rsid w:val="00145A14"/>
    <w:pPr>
      <w:numPr>
        <w:numId w:val="48"/>
      </w:numPr>
      <w:pBdr>
        <w:bottom w:val="single" w:sz="4" w:space="1" w:color="214F75"/>
      </w:pBdr>
      <w:jc w:val="left"/>
    </w:pPr>
    <w:rPr>
      <w:i/>
      <w:color w:val="214F75"/>
    </w:rPr>
  </w:style>
  <w:style w:type="paragraph" w:customStyle="1" w:styleId="Grafica1cap4">
    <w:name w:val="Grafica 1 cap4"/>
    <w:basedOn w:val="Normal"/>
    <w:next w:val="Normal"/>
    <w:autoRedefine/>
    <w:rsid w:val="00145A14"/>
    <w:pPr>
      <w:numPr>
        <w:numId w:val="49"/>
      </w:numPr>
      <w:pBdr>
        <w:bottom w:val="single" w:sz="4" w:space="1" w:color="214F75"/>
      </w:pBdr>
      <w:jc w:val="left"/>
    </w:pPr>
    <w:rPr>
      <w:i/>
      <w:color w:val="214F75"/>
    </w:rPr>
  </w:style>
  <w:style w:type="paragraph" w:customStyle="1" w:styleId="Grafica1cap5">
    <w:name w:val="Grafica 1 cap5"/>
    <w:basedOn w:val="Normal"/>
    <w:next w:val="Normal"/>
    <w:autoRedefine/>
    <w:rsid w:val="00145A14"/>
    <w:pPr>
      <w:numPr>
        <w:numId w:val="50"/>
      </w:numPr>
      <w:pBdr>
        <w:bottom w:val="single" w:sz="4" w:space="1" w:color="214F75"/>
      </w:pBdr>
      <w:jc w:val="left"/>
    </w:pPr>
    <w:rPr>
      <w:i/>
      <w:color w:val="214F75"/>
    </w:rPr>
  </w:style>
  <w:style w:type="paragraph" w:customStyle="1" w:styleId="Grafica1cap6">
    <w:name w:val="Grafica 1 cap6"/>
    <w:basedOn w:val="Normal"/>
    <w:next w:val="Normal"/>
    <w:autoRedefine/>
    <w:rsid w:val="00E104B7"/>
    <w:pPr>
      <w:numPr>
        <w:numId w:val="51"/>
      </w:numPr>
      <w:pBdr>
        <w:bottom w:val="single" w:sz="4" w:space="1" w:color="214F75"/>
      </w:pBdr>
      <w:jc w:val="left"/>
    </w:pPr>
    <w:rPr>
      <w:i/>
      <w:color w:val="214F75"/>
    </w:rPr>
  </w:style>
  <w:style w:type="paragraph" w:customStyle="1" w:styleId="Grafica1cap7">
    <w:name w:val="Grafica 1 cap7"/>
    <w:basedOn w:val="Normal"/>
    <w:next w:val="Normal"/>
    <w:autoRedefine/>
    <w:rsid w:val="00145A14"/>
    <w:pPr>
      <w:numPr>
        <w:numId w:val="52"/>
      </w:numPr>
      <w:pBdr>
        <w:bottom w:val="single" w:sz="4" w:space="1" w:color="214F75"/>
      </w:pBdr>
      <w:jc w:val="left"/>
    </w:pPr>
    <w:rPr>
      <w:i/>
      <w:color w:val="214F75"/>
    </w:rPr>
  </w:style>
  <w:style w:type="paragraph" w:customStyle="1" w:styleId="Grafica1cap8">
    <w:name w:val="Grafica 1 cap8"/>
    <w:basedOn w:val="Normal"/>
    <w:next w:val="Normal"/>
    <w:autoRedefine/>
    <w:rsid w:val="00BC0B48"/>
    <w:pPr>
      <w:numPr>
        <w:numId w:val="53"/>
      </w:numPr>
      <w:pBdr>
        <w:bottom w:val="single" w:sz="4" w:space="1" w:color="214F75"/>
      </w:pBdr>
      <w:jc w:val="left"/>
    </w:pPr>
    <w:rPr>
      <w:i/>
      <w:color w:val="214F75"/>
    </w:rPr>
  </w:style>
  <w:style w:type="paragraph" w:customStyle="1" w:styleId="Grafica1cap9">
    <w:name w:val="Grafica 1 cap9"/>
    <w:basedOn w:val="Normal"/>
    <w:next w:val="Normal"/>
    <w:autoRedefine/>
    <w:rsid w:val="00BC0B48"/>
    <w:pPr>
      <w:numPr>
        <w:numId w:val="54"/>
      </w:numPr>
      <w:pBdr>
        <w:bottom w:val="single" w:sz="4" w:space="1" w:color="214F75"/>
      </w:pBdr>
      <w:jc w:val="left"/>
    </w:pPr>
    <w:rPr>
      <w:i/>
      <w:color w:val="214F75"/>
    </w:rPr>
  </w:style>
  <w:style w:type="paragraph" w:customStyle="1" w:styleId="Grafica1cap10">
    <w:name w:val="Grafica 1 cap10"/>
    <w:basedOn w:val="Normal"/>
    <w:next w:val="Normal"/>
    <w:autoRedefine/>
    <w:rsid w:val="00BC0B48"/>
    <w:pPr>
      <w:numPr>
        <w:numId w:val="55"/>
      </w:numPr>
      <w:pBdr>
        <w:bottom w:val="single" w:sz="4" w:space="1" w:color="214F75"/>
      </w:pBdr>
      <w:jc w:val="left"/>
    </w:pPr>
    <w:rPr>
      <w:i/>
      <w:color w:val="214F75"/>
    </w:rPr>
  </w:style>
  <w:style w:type="character" w:styleId="Refdecomentario">
    <w:name w:val="annotation reference"/>
    <w:basedOn w:val="Fuentedeprrafopredeter"/>
    <w:semiHidden/>
    <w:rsid w:val="00991412"/>
    <w:rPr>
      <w:sz w:val="16"/>
      <w:szCs w:val="16"/>
    </w:rPr>
  </w:style>
  <w:style w:type="paragraph" w:styleId="Textodeglobo">
    <w:name w:val="Balloon Text"/>
    <w:basedOn w:val="Normal"/>
    <w:semiHidden/>
    <w:rsid w:val="00991412"/>
    <w:rPr>
      <w:rFonts w:ascii="Tahoma" w:hAnsi="Tahoma"/>
      <w:sz w:val="16"/>
      <w:szCs w:val="16"/>
    </w:rPr>
  </w:style>
  <w:style w:type="paragraph" w:customStyle="1" w:styleId="PORTADA">
    <w:name w:val="PORTADA"/>
    <w:basedOn w:val="Normal"/>
    <w:next w:val="Normal"/>
    <w:autoRedefine/>
    <w:rsid w:val="0039370B"/>
    <w:pPr>
      <w:jc w:val="center"/>
    </w:pPr>
    <w:rPr>
      <w:rFonts w:ascii="Arial Rounded MT Bold" w:hAnsi="Arial Rounded MT Bold"/>
      <w:b/>
      <w:color w:val="214F71"/>
      <w:sz w:val="32"/>
    </w:rPr>
  </w:style>
  <w:style w:type="paragraph" w:styleId="ndice1">
    <w:name w:val="index 1"/>
    <w:basedOn w:val="Normal"/>
    <w:next w:val="Normal"/>
    <w:autoRedefine/>
    <w:semiHidden/>
    <w:rsid w:val="00AB1F61"/>
    <w:pPr>
      <w:ind w:left="220" w:hanging="220"/>
    </w:pPr>
  </w:style>
  <w:style w:type="paragraph" w:styleId="Ttulodendice">
    <w:name w:val="index heading"/>
    <w:basedOn w:val="Normal"/>
    <w:next w:val="Normal"/>
    <w:autoRedefine/>
    <w:semiHidden/>
    <w:rsid w:val="0042599E"/>
    <w:pPr>
      <w:spacing w:after="480"/>
      <w:ind w:firstLine="0"/>
    </w:pPr>
    <w:rPr>
      <w:rFonts w:cs="Arial"/>
      <w:b/>
      <w:bCs/>
      <w:caps/>
      <w:color w:val="214F75"/>
      <w:sz w:val="32"/>
      <w:szCs w:val="32"/>
    </w:rPr>
  </w:style>
  <w:style w:type="paragraph" w:styleId="Epgrafe">
    <w:name w:val="caption"/>
    <w:basedOn w:val="Normal"/>
    <w:next w:val="Normal"/>
    <w:qFormat/>
    <w:rsid w:val="006566E2"/>
    <w:rPr>
      <w:b/>
      <w:bCs/>
      <w:sz w:val="20"/>
    </w:rPr>
  </w:style>
  <w:style w:type="paragraph" w:styleId="Lista2">
    <w:name w:val="List 2"/>
    <w:basedOn w:val="Normal"/>
    <w:rsid w:val="00536A2B"/>
    <w:pPr>
      <w:ind w:left="566" w:hanging="283"/>
    </w:pPr>
  </w:style>
  <w:style w:type="paragraph" w:customStyle="1" w:styleId="tabla1cap11">
    <w:name w:val="tabla 1 cap11"/>
    <w:basedOn w:val="Normal"/>
    <w:autoRedefine/>
    <w:rsid w:val="00023A36"/>
    <w:pPr>
      <w:numPr>
        <w:numId w:val="57"/>
      </w:numPr>
      <w:pBdr>
        <w:bottom w:val="single" w:sz="4" w:space="1" w:color="214F75"/>
      </w:pBdr>
      <w:tabs>
        <w:tab w:val="left" w:pos="1217"/>
      </w:tabs>
      <w:jc w:val="left"/>
    </w:pPr>
    <w:rPr>
      <w:i/>
      <w:color w:val="214F75"/>
      <w:lang w:val="en-US"/>
    </w:rPr>
  </w:style>
  <w:style w:type="paragraph" w:customStyle="1" w:styleId="Tabla1cap12">
    <w:name w:val="Tabla1 cap12"/>
    <w:basedOn w:val="Normal"/>
    <w:autoRedefine/>
    <w:rsid w:val="00023A36"/>
    <w:pPr>
      <w:numPr>
        <w:numId w:val="58"/>
      </w:numPr>
      <w:pBdr>
        <w:bottom w:val="single" w:sz="4" w:space="1" w:color="214F75"/>
      </w:pBdr>
      <w:tabs>
        <w:tab w:val="left" w:pos="1217"/>
      </w:tabs>
      <w:jc w:val="left"/>
    </w:pPr>
    <w:rPr>
      <w:i/>
      <w:color w:val="214F75"/>
      <w:lang w:val="en-US"/>
    </w:rPr>
  </w:style>
  <w:style w:type="paragraph" w:customStyle="1" w:styleId="Tabla1cap13">
    <w:name w:val="Tabla1 cap13"/>
    <w:basedOn w:val="Normal"/>
    <w:autoRedefine/>
    <w:rsid w:val="00A60C5C"/>
    <w:pPr>
      <w:numPr>
        <w:numId w:val="59"/>
      </w:numPr>
      <w:pBdr>
        <w:bottom w:val="single" w:sz="4" w:space="1" w:color="214F75"/>
      </w:pBdr>
      <w:tabs>
        <w:tab w:val="left" w:pos="1217"/>
      </w:tabs>
      <w:jc w:val="left"/>
    </w:pPr>
    <w:rPr>
      <w:i/>
      <w:color w:val="214F75"/>
      <w:lang w:val="es-ES"/>
    </w:rPr>
  </w:style>
  <w:style w:type="paragraph" w:customStyle="1" w:styleId="Figura1cap12">
    <w:name w:val="Figura1 cap12"/>
    <w:basedOn w:val="Normal"/>
    <w:autoRedefine/>
    <w:rsid w:val="009D5164"/>
    <w:pPr>
      <w:numPr>
        <w:numId w:val="63"/>
      </w:numPr>
      <w:pBdr>
        <w:bottom w:val="single" w:sz="4" w:space="1" w:color="214F75"/>
      </w:pBdr>
      <w:tabs>
        <w:tab w:val="left" w:pos="1217"/>
      </w:tabs>
      <w:jc w:val="left"/>
    </w:pPr>
    <w:rPr>
      <w:i/>
      <w:color w:val="214F75"/>
      <w:lang w:val="en-US"/>
    </w:rPr>
  </w:style>
  <w:style w:type="paragraph" w:customStyle="1" w:styleId="Figura1cap13">
    <w:name w:val="Figura1 cap13"/>
    <w:basedOn w:val="Normal"/>
    <w:autoRedefine/>
    <w:rsid w:val="00D926F0"/>
    <w:pPr>
      <w:numPr>
        <w:numId w:val="64"/>
      </w:numPr>
      <w:pBdr>
        <w:bottom w:val="single" w:sz="4" w:space="1" w:color="214F75"/>
      </w:pBdr>
      <w:tabs>
        <w:tab w:val="left" w:pos="1217"/>
      </w:tabs>
      <w:jc w:val="left"/>
    </w:pPr>
    <w:rPr>
      <w:i/>
      <w:color w:val="214F75"/>
      <w:lang w:val="en-US"/>
    </w:rPr>
  </w:style>
  <w:style w:type="paragraph" w:customStyle="1" w:styleId="Figura1cap14">
    <w:name w:val="Figura1 cap14"/>
    <w:basedOn w:val="Normal"/>
    <w:autoRedefine/>
    <w:rsid w:val="00D926F0"/>
    <w:pPr>
      <w:numPr>
        <w:numId w:val="65"/>
      </w:numPr>
      <w:pBdr>
        <w:bottom w:val="single" w:sz="4" w:space="1" w:color="214F75"/>
      </w:pBdr>
      <w:tabs>
        <w:tab w:val="left" w:pos="1217"/>
      </w:tabs>
      <w:jc w:val="left"/>
    </w:pPr>
    <w:rPr>
      <w:i/>
      <w:color w:val="214F75"/>
      <w:lang w:val="en-US"/>
    </w:rPr>
  </w:style>
  <w:style w:type="paragraph" w:customStyle="1" w:styleId="Figura1cap15">
    <w:name w:val="Figura1 cap15"/>
    <w:basedOn w:val="Normal"/>
    <w:autoRedefine/>
    <w:rsid w:val="00D926F0"/>
    <w:pPr>
      <w:numPr>
        <w:numId w:val="66"/>
      </w:numPr>
      <w:pBdr>
        <w:bottom w:val="single" w:sz="4" w:space="1" w:color="214F75"/>
      </w:pBdr>
      <w:tabs>
        <w:tab w:val="left" w:pos="1217"/>
      </w:tabs>
      <w:jc w:val="left"/>
    </w:pPr>
    <w:rPr>
      <w:i/>
      <w:color w:val="214F75"/>
      <w:lang w:val="en-US"/>
    </w:rPr>
  </w:style>
  <w:style w:type="paragraph" w:customStyle="1" w:styleId="Grafica1cap11">
    <w:name w:val="Grafica1 cap11"/>
    <w:basedOn w:val="Normal"/>
    <w:autoRedefine/>
    <w:rsid w:val="001830F2"/>
    <w:pPr>
      <w:numPr>
        <w:numId w:val="67"/>
      </w:numPr>
      <w:pBdr>
        <w:bottom w:val="single" w:sz="4" w:space="1" w:color="214F75"/>
      </w:pBdr>
      <w:ind w:left="0" w:firstLine="0"/>
      <w:jc w:val="left"/>
    </w:pPr>
    <w:rPr>
      <w:i/>
      <w:color w:val="214F75"/>
      <w:lang w:val="en-US"/>
    </w:rPr>
  </w:style>
  <w:style w:type="paragraph" w:customStyle="1" w:styleId="Grafica1cap12">
    <w:name w:val="Grafica1 cap12"/>
    <w:basedOn w:val="Normal"/>
    <w:autoRedefine/>
    <w:rsid w:val="001830F2"/>
    <w:pPr>
      <w:numPr>
        <w:numId w:val="68"/>
      </w:numPr>
      <w:pBdr>
        <w:bottom w:val="single" w:sz="4" w:space="1" w:color="214F75"/>
      </w:pBdr>
      <w:ind w:left="0" w:firstLine="0"/>
      <w:jc w:val="left"/>
    </w:pPr>
    <w:rPr>
      <w:i/>
      <w:color w:val="214F75"/>
      <w:lang w:val="en-US"/>
    </w:rPr>
  </w:style>
  <w:style w:type="paragraph" w:customStyle="1" w:styleId="Grafica1cap13">
    <w:name w:val="Grafica1 cap13"/>
    <w:basedOn w:val="Normal"/>
    <w:autoRedefine/>
    <w:rsid w:val="000B3984"/>
    <w:pPr>
      <w:numPr>
        <w:numId w:val="69"/>
      </w:numPr>
      <w:pBdr>
        <w:bottom w:val="single" w:sz="4" w:space="1" w:color="214F75"/>
      </w:pBdr>
      <w:ind w:left="0" w:firstLine="0"/>
      <w:jc w:val="left"/>
    </w:pPr>
    <w:rPr>
      <w:i/>
      <w:color w:val="214F75"/>
      <w:lang w:val="en-US"/>
    </w:rPr>
  </w:style>
  <w:style w:type="paragraph" w:customStyle="1" w:styleId="Grafica1cap14">
    <w:name w:val="Grafica1 cap14"/>
    <w:basedOn w:val="Normal"/>
    <w:autoRedefine/>
    <w:rsid w:val="001830F2"/>
    <w:pPr>
      <w:numPr>
        <w:numId w:val="70"/>
      </w:numPr>
      <w:pBdr>
        <w:bottom w:val="single" w:sz="4" w:space="1" w:color="214F75"/>
      </w:pBdr>
      <w:ind w:left="0" w:firstLine="0"/>
      <w:jc w:val="left"/>
    </w:pPr>
    <w:rPr>
      <w:i/>
      <w:color w:val="214F75"/>
      <w:lang w:val="en-US"/>
    </w:rPr>
  </w:style>
  <w:style w:type="paragraph" w:customStyle="1" w:styleId="Grafica1cap15">
    <w:name w:val="Grafica1 cap15"/>
    <w:basedOn w:val="Normal"/>
    <w:autoRedefine/>
    <w:rsid w:val="00D34F2F"/>
    <w:pPr>
      <w:numPr>
        <w:numId w:val="71"/>
      </w:numPr>
      <w:pBdr>
        <w:bottom w:val="single" w:sz="4" w:space="1" w:color="214F75"/>
      </w:pBdr>
      <w:ind w:left="0" w:firstLine="0"/>
      <w:jc w:val="left"/>
    </w:pPr>
    <w:rPr>
      <w:i/>
      <w:color w:val="214F75"/>
      <w:lang w:val="en-US"/>
    </w:rPr>
  </w:style>
  <w:style w:type="paragraph" w:customStyle="1" w:styleId="Fotografia1cap11">
    <w:name w:val="Fotografia1 cap11"/>
    <w:basedOn w:val="Normal"/>
    <w:autoRedefine/>
    <w:rsid w:val="003E5FFF"/>
    <w:pPr>
      <w:numPr>
        <w:numId w:val="72"/>
      </w:numPr>
      <w:pBdr>
        <w:bottom w:val="single" w:sz="4" w:space="1" w:color="214F75"/>
      </w:pBdr>
      <w:ind w:left="0" w:firstLine="0"/>
      <w:jc w:val="left"/>
    </w:pPr>
    <w:rPr>
      <w:i/>
      <w:color w:val="214F75"/>
      <w:lang w:val="en-US"/>
    </w:rPr>
  </w:style>
  <w:style w:type="paragraph" w:customStyle="1" w:styleId="Fotografia1cap12">
    <w:name w:val="Fotografia1 cap12"/>
    <w:basedOn w:val="Normal"/>
    <w:autoRedefine/>
    <w:rsid w:val="003E5FFF"/>
    <w:pPr>
      <w:numPr>
        <w:numId w:val="73"/>
      </w:numPr>
      <w:pBdr>
        <w:bottom w:val="single" w:sz="4" w:space="1" w:color="214F75"/>
      </w:pBdr>
      <w:ind w:left="0" w:firstLine="0"/>
      <w:jc w:val="left"/>
    </w:pPr>
    <w:rPr>
      <w:i/>
      <w:color w:val="214F75"/>
      <w:lang w:val="en-US"/>
    </w:rPr>
  </w:style>
  <w:style w:type="paragraph" w:customStyle="1" w:styleId="Fotografia1cap13">
    <w:name w:val="Fotografia1 cap13"/>
    <w:basedOn w:val="Normal"/>
    <w:autoRedefine/>
    <w:rsid w:val="003E5FFF"/>
    <w:pPr>
      <w:numPr>
        <w:numId w:val="74"/>
      </w:numPr>
      <w:pBdr>
        <w:bottom w:val="single" w:sz="4" w:space="1" w:color="214F75"/>
      </w:pBdr>
      <w:ind w:left="0" w:firstLine="0"/>
      <w:jc w:val="left"/>
    </w:pPr>
    <w:rPr>
      <w:i/>
      <w:color w:val="214F75"/>
      <w:lang w:val="en-US"/>
    </w:rPr>
  </w:style>
  <w:style w:type="paragraph" w:customStyle="1" w:styleId="Fotografia1cap14">
    <w:name w:val="Fotografia1 cap14"/>
    <w:basedOn w:val="Normal"/>
    <w:autoRedefine/>
    <w:rsid w:val="003E5FFF"/>
    <w:pPr>
      <w:numPr>
        <w:numId w:val="75"/>
      </w:numPr>
      <w:pBdr>
        <w:bottom w:val="single" w:sz="4" w:space="1" w:color="214F75"/>
      </w:pBdr>
      <w:ind w:left="0" w:firstLine="0"/>
      <w:jc w:val="left"/>
    </w:pPr>
    <w:rPr>
      <w:i/>
      <w:color w:val="214F75"/>
      <w:lang w:val="en-US"/>
    </w:rPr>
  </w:style>
  <w:style w:type="paragraph" w:customStyle="1" w:styleId="Fotografia1cap15">
    <w:name w:val="Fotografia1 cap15"/>
    <w:basedOn w:val="Normal"/>
    <w:autoRedefine/>
    <w:rsid w:val="003E5FFF"/>
    <w:pPr>
      <w:numPr>
        <w:numId w:val="76"/>
      </w:numPr>
      <w:pBdr>
        <w:bottom w:val="single" w:sz="4" w:space="1" w:color="214F75"/>
      </w:pBdr>
      <w:ind w:left="0" w:firstLine="0"/>
      <w:jc w:val="left"/>
    </w:pPr>
    <w:rPr>
      <w:i/>
      <w:color w:val="214F75"/>
      <w:lang w:val="en-US"/>
    </w:rPr>
  </w:style>
  <w:style w:type="paragraph" w:customStyle="1" w:styleId="Cuadro1cap11">
    <w:name w:val="Cuadro1 cap11"/>
    <w:basedOn w:val="Normal"/>
    <w:autoRedefine/>
    <w:rsid w:val="00AA6BC6"/>
    <w:pPr>
      <w:numPr>
        <w:numId w:val="77"/>
      </w:numPr>
      <w:pBdr>
        <w:bottom w:val="single" w:sz="4" w:space="1" w:color="214F75"/>
      </w:pBdr>
      <w:ind w:left="0" w:firstLine="0"/>
      <w:jc w:val="left"/>
    </w:pPr>
    <w:rPr>
      <w:i/>
      <w:color w:val="214F75"/>
      <w:lang w:val="en-US"/>
    </w:rPr>
  </w:style>
  <w:style w:type="paragraph" w:customStyle="1" w:styleId="Cuadro1cap12">
    <w:name w:val="Cuadro1 cap12"/>
    <w:basedOn w:val="Normal"/>
    <w:autoRedefine/>
    <w:rsid w:val="00AA6BC6"/>
    <w:pPr>
      <w:numPr>
        <w:numId w:val="78"/>
      </w:numPr>
      <w:pBdr>
        <w:bottom w:val="single" w:sz="4" w:space="1" w:color="214F75"/>
      </w:pBdr>
      <w:ind w:left="0" w:firstLine="0"/>
      <w:jc w:val="left"/>
    </w:pPr>
    <w:rPr>
      <w:i/>
      <w:color w:val="214F75"/>
      <w:lang w:val="en-US"/>
    </w:rPr>
  </w:style>
  <w:style w:type="paragraph" w:customStyle="1" w:styleId="Cuadro1cap13">
    <w:name w:val="Cuadro1 cap13"/>
    <w:basedOn w:val="Normal"/>
    <w:autoRedefine/>
    <w:rsid w:val="00AA6BC6"/>
    <w:pPr>
      <w:numPr>
        <w:numId w:val="79"/>
      </w:numPr>
      <w:pBdr>
        <w:bottom w:val="single" w:sz="4" w:space="1" w:color="214F75"/>
      </w:pBdr>
      <w:ind w:left="0" w:firstLine="0"/>
      <w:jc w:val="left"/>
    </w:pPr>
    <w:rPr>
      <w:i/>
      <w:color w:val="214F75"/>
      <w:lang w:val="en-US"/>
    </w:rPr>
  </w:style>
  <w:style w:type="paragraph" w:customStyle="1" w:styleId="Cuadro1cap14">
    <w:name w:val="Cuadro1 cap14"/>
    <w:basedOn w:val="Normal"/>
    <w:autoRedefine/>
    <w:rsid w:val="00AA6BC6"/>
    <w:pPr>
      <w:numPr>
        <w:numId w:val="80"/>
      </w:numPr>
      <w:pBdr>
        <w:bottom w:val="single" w:sz="4" w:space="1" w:color="214F75"/>
      </w:pBdr>
      <w:ind w:left="0" w:firstLine="0"/>
      <w:jc w:val="left"/>
    </w:pPr>
    <w:rPr>
      <w:i/>
      <w:color w:val="214F75"/>
      <w:lang w:val="en-US"/>
    </w:rPr>
  </w:style>
  <w:style w:type="paragraph" w:customStyle="1" w:styleId="Cuadro1cap15">
    <w:name w:val="Cuadro1 cap15"/>
    <w:basedOn w:val="Normal"/>
    <w:autoRedefine/>
    <w:rsid w:val="00542885"/>
    <w:pPr>
      <w:numPr>
        <w:numId w:val="81"/>
      </w:numPr>
      <w:pBdr>
        <w:bottom w:val="single" w:sz="4" w:space="1" w:color="214F75"/>
      </w:pBdr>
      <w:ind w:left="0" w:firstLine="0"/>
      <w:jc w:val="left"/>
    </w:pPr>
    <w:rPr>
      <w:i/>
      <w:color w:val="214F75"/>
      <w:lang w:val="en-US"/>
    </w:rPr>
  </w:style>
  <w:style w:type="table" w:styleId="Tablaconcuadrcula">
    <w:name w:val="Table Grid"/>
    <w:basedOn w:val="Tablanormal"/>
    <w:rsid w:val="00B1710B"/>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notapie">
    <w:name w:val="footnote text"/>
    <w:basedOn w:val="Normal"/>
    <w:link w:val="TextonotapieCar"/>
    <w:uiPriority w:val="99"/>
    <w:rsid w:val="00971E91"/>
  </w:style>
  <w:style w:type="character" w:customStyle="1" w:styleId="TextonotapieCar">
    <w:name w:val="Texto nota pie Car"/>
    <w:basedOn w:val="Fuentedeprrafopredeter"/>
    <w:link w:val="Textonotapie"/>
    <w:uiPriority w:val="99"/>
    <w:rsid w:val="00971E91"/>
    <w:rPr>
      <w:rFonts w:ascii="Arial" w:hAnsi="Arial" w:cs="Tahoma"/>
      <w:lang w:eastAsia="es-ES"/>
    </w:rPr>
  </w:style>
  <w:style w:type="character" w:styleId="Refdenotaalpie">
    <w:name w:val="footnote reference"/>
    <w:basedOn w:val="Fuentedeprrafopredeter"/>
    <w:uiPriority w:val="99"/>
    <w:rsid w:val="00971E91"/>
    <w:rPr>
      <w:vertAlign w:val="superscript"/>
    </w:rPr>
  </w:style>
  <w:style w:type="table" w:styleId="Tablaconcuadrcula8">
    <w:name w:val="Table Grid 8"/>
    <w:basedOn w:val="Tablanormal"/>
    <w:rsid w:val="004D3527"/>
    <w:pPr>
      <w:spacing w:before="60" w:after="120"/>
      <w:ind w:firstLine="284"/>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columnas3">
    <w:name w:val="Table Columns 3"/>
    <w:basedOn w:val="Tablanormal"/>
    <w:rsid w:val="004D3527"/>
    <w:pPr>
      <w:spacing w:before="60" w:after="120"/>
      <w:ind w:firstLine="284"/>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bsica1">
    <w:name w:val="Table Simple 1"/>
    <w:basedOn w:val="Tablanormal"/>
    <w:rsid w:val="00E82400"/>
    <w:pPr>
      <w:spacing w:before="60" w:after="120"/>
      <w:ind w:firstLine="284"/>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Prrafodelista">
    <w:name w:val="List Paragraph"/>
    <w:basedOn w:val="Normal"/>
    <w:uiPriority w:val="34"/>
    <w:qFormat/>
    <w:rsid w:val="00B84264"/>
    <w:pPr>
      <w:ind w:left="708"/>
    </w:pPr>
  </w:style>
  <w:style w:type="paragraph" w:customStyle="1" w:styleId="ecxmsonormal">
    <w:name w:val="ecxmsonormal"/>
    <w:basedOn w:val="Normal"/>
    <w:rsid w:val="00B5103E"/>
    <w:pPr>
      <w:spacing w:before="0" w:after="324" w:line="240" w:lineRule="auto"/>
      <w:ind w:firstLine="0"/>
      <w:jc w:val="left"/>
    </w:pPr>
    <w:rPr>
      <w:rFonts w:ascii="Times New Roman" w:eastAsia="Times New Roman" w:hAnsi="Times New Roman" w:cs="Times New Roman"/>
      <w:sz w:val="24"/>
      <w:szCs w:val="24"/>
      <w:lang w:val="es-ES"/>
    </w:rPr>
  </w:style>
  <w:style w:type="character" w:customStyle="1" w:styleId="PiedepginaCar">
    <w:name w:val="Pie de página Car"/>
    <w:basedOn w:val="Fuentedeprrafopredeter"/>
    <w:link w:val="Piedepgina"/>
    <w:uiPriority w:val="99"/>
    <w:rsid w:val="002F065B"/>
    <w:rPr>
      <w:rFonts w:ascii="Arial" w:hAnsi="Arial" w:cs="Tahoma"/>
      <w:sz w:val="16"/>
      <w:szCs w:val="16"/>
      <w:lang w:eastAsia="es-ES"/>
    </w:rPr>
  </w:style>
  <w:style w:type="table" w:styleId="Tablabsica2">
    <w:name w:val="Table Simple 2"/>
    <w:basedOn w:val="Tablanormal"/>
    <w:rsid w:val="00605307"/>
    <w:pPr>
      <w:spacing w:before="60" w:after="120" w:line="288" w:lineRule="auto"/>
      <w:ind w:firstLine="284"/>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onefectos3D3">
    <w:name w:val="Table 3D effects 3"/>
    <w:basedOn w:val="Tablanormal"/>
    <w:rsid w:val="00605307"/>
    <w:pPr>
      <w:spacing w:before="60" w:after="120" w:line="288" w:lineRule="auto"/>
      <w:ind w:firstLine="284"/>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rsid w:val="00605307"/>
    <w:pPr>
      <w:spacing w:before="60" w:after="120" w:line="288" w:lineRule="auto"/>
      <w:ind w:firstLine="284"/>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1">
    <w:name w:val="Table Classic 1"/>
    <w:basedOn w:val="Tablanormal"/>
    <w:rsid w:val="00605307"/>
    <w:pPr>
      <w:spacing w:before="60" w:after="120" w:line="288" w:lineRule="auto"/>
      <w:ind w:firstLine="284"/>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tulodeTDC">
    <w:name w:val="TOC Heading"/>
    <w:basedOn w:val="Ttulo1"/>
    <w:next w:val="Normal"/>
    <w:uiPriority w:val="39"/>
    <w:semiHidden/>
    <w:unhideWhenUsed/>
    <w:qFormat/>
    <w:rsid w:val="00605307"/>
    <w:pPr>
      <w:keepNext/>
      <w:keepLines/>
      <w:pageBreakBefore w:val="0"/>
      <w:numPr>
        <w:numId w:val="0"/>
      </w:numPr>
      <w:spacing w:before="480" w:after="0" w:line="276" w:lineRule="auto"/>
      <w:outlineLvl w:val="9"/>
    </w:pPr>
    <w:rPr>
      <w:rFonts w:ascii="Cambria" w:eastAsia="Times New Roman" w:hAnsi="Cambria" w:cs="Times New Roman"/>
      <w:smallCaps w:val="0"/>
      <w:color w:val="365F91"/>
      <w:sz w:val="28"/>
      <w:szCs w:val="28"/>
      <w:lang w:val="es-ES" w:eastAsia="en-US"/>
    </w:rPr>
  </w:style>
  <w:style w:type="character" w:styleId="Textoennegrita">
    <w:name w:val="Strong"/>
    <w:basedOn w:val="Fuentedeprrafopredeter"/>
    <w:qFormat/>
    <w:rsid w:val="00517BFB"/>
    <w:rPr>
      <w:b/>
      <w:bCs/>
    </w:rPr>
  </w:style>
  <w:style w:type="character" w:customStyle="1" w:styleId="EncabezadoCar">
    <w:name w:val="Encabezado Car"/>
    <w:link w:val="Encabezado"/>
    <w:rsid w:val="00673A79"/>
    <w:rPr>
      <w:rFonts w:ascii="Arial" w:hAnsi="Arial" w:cs="Tahoma"/>
      <w:sz w:val="22"/>
      <w:lang w:eastAsia="es-ES"/>
    </w:rPr>
  </w:style>
  <w:style w:type="table" w:styleId="Tablaclsica2">
    <w:name w:val="Table Classic 2"/>
    <w:basedOn w:val="Tablanormal"/>
    <w:rsid w:val="00673A79"/>
    <w:pPr>
      <w:spacing w:before="60" w:after="120" w:line="288" w:lineRule="auto"/>
      <w:ind w:firstLine="284"/>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bsica3">
    <w:name w:val="Table Simple 3"/>
    <w:basedOn w:val="Tablanormal"/>
    <w:rsid w:val="00673A79"/>
    <w:pPr>
      <w:spacing w:before="60" w:after="120" w:line="288" w:lineRule="auto"/>
      <w:ind w:firstLine="284"/>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moderna">
    <w:name w:val="Table Contemporary"/>
    <w:basedOn w:val="Tablanormal"/>
    <w:rsid w:val="00673A79"/>
    <w:pPr>
      <w:spacing w:before="60" w:after="120" w:line="288" w:lineRule="auto"/>
      <w:ind w:firstLine="284"/>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nfasisintenso">
    <w:name w:val="Intense Emphasis"/>
    <w:uiPriority w:val="21"/>
    <w:qFormat/>
    <w:rsid w:val="00673A79"/>
    <w:rPr>
      <w:b/>
      <w:bCs/>
      <w:i/>
      <w:iCs/>
      <w:color w:val="4F81BD"/>
    </w:rPr>
  </w:style>
  <w:style w:type="character" w:styleId="Ttulodellibro">
    <w:name w:val="Book Title"/>
    <w:uiPriority w:val="33"/>
    <w:qFormat/>
    <w:rsid w:val="00673A79"/>
    <w:rPr>
      <w:b/>
      <w:bCs/>
      <w:smallCaps/>
      <w:spacing w:val="5"/>
    </w:rPr>
  </w:style>
  <w:style w:type="paragraph" w:styleId="Ttulo">
    <w:name w:val="Title"/>
    <w:basedOn w:val="Normal"/>
    <w:next w:val="Normal"/>
    <w:link w:val="TtuloCar"/>
    <w:qFormat/>
    <w:rsid w:val="00673A79"/>
    <w:pPr>
      <w:spacing w:before="240" w:after="60"/>
      <w:jc w:val="center"/>
      <w:outlineLvl w:val="0"/>
    </w:pPr>
    <w:rPr>
      <w:rFonts w:ascii="Cambria" w:eastAsia="Times New Roman" w:hAnsi="Cambria" w:cs="Times New Roman"/>
      <w:b/>
      <w:bCs/>
      <w:kern w:val="28"/>
      <w:sz w:val="32"/>
      <w:szCs w:val="32"/>
    </w:rPr>
  </w:style>
  <w:style w:type="character" w:customStyle="1" w:styleId="TtuloCar">
    <w:name w:val="Título Car"/>
    <w:basedOn w:val="Fuentedeprrafopredeter"/>
    <w:link w:val="Ttulo"/>
    <w:rsid w:val="00673A79"/>
    <w:rPr>
      <w:rFonts w:ascii="Cambria" w:eastAsia="Times New Roman" w:hAnsi="Cambria"/>
      <w:b/>
      <w:bCs/>
      <w:kern w:val="28"/>
      <w:sz w:val="32"/>
      <w:szCs w:val="32"/>
      <w:lang w:eastAsia="es-ES"/>
    </w:rPr>
  </w:style>
  <w:style w:type="table" w:customStyle="1" w:styleId="Sombreadoclaro-nfasis11">
    <w:name w:val="Sombreado claro - Énfasis 11"/>
    <w:basedOn w:val="Tablanormal"/>
    <w:uiPriority w:val="60"/>
    <w:rsid w:val="00673A79"/>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Default">
    <w:name w:val="Default"/>
    <w:rsid w:val="00673A79"/>
    <w:pPr>
      <w:autoSpaceDE w:val="0"/>
      <w:autoSpaceDN w:val="0"/>
      <w:adjustRightInd w:val="0"/>
    </w:pPr>
    <w:rPr>
      <w:rFonts w:ascii="Arial" w:eastAsia="Calibri" w:hAnsi="Arial" w:cs="Arial"/>
      <w:color w:val="000000"/>
      <w:sz w:val="24"/>
      <w:szCs w:val="24"/>
      <w:lang w:val="es-ES" w:eastAsia="es-ES"/>
    </w:rPr>
  </w:style>
  <w:style w:type="paragraph" w:styleId="NormalWeb">
    <w:name w:val="Normal (Web)"/>
    <w:basedOn w:val="Normal"/>
    <w:uiPriority w:val="99"/>
    <w:unhideWhenUsed/>
    <w:rsid w:val="00673A79"/>
    <w:pPr>
      <w:spacing w:before="100" w:beforeAutospacing="1" w:after="100" w:afterAutospacing="1" w:line="240" w:lineRule="auto"/>
      <w:ind w:firstLine="0"/>
      <w:jc w:val="left"/>
    </w:pPr>
    <w:rPr>
      <w:rFonts w:ascii="Times New Roman" w:eastAsia="Times New Roman" w:hAnsi="Times New Roman" w:cs="Times New Roman"/>
      <w:sz w:val="24"/>
      <w:szCs w:val="24"/>
      <w:lang w:eastAsia="es-MX"/>
    </w:rPr>
  </w:style>
  <w:style w:type="table" w:styleId="Listaclara-nfasis4">
    <w:name w:val="Light List Accent 4"/>
    <w:basedOn w:val="Tablanormal"/>
    <w:uiPriority w:val="61"/>
    <w:rsid w:val="00673A79"/>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s>
</file>

<file path=word/webSettings.xml><?xml version="1.0" encoding="utf-8"?>
<w:webSettings xmlns:r="http://schemas.openxmlformats.org/officeDocument/2006/relationships" xmlns:w="http://schemas.openxmlformats.org/wordprocessingml/2006/main">
  <w:divs>
    <w:div w:id="958336366">
      <w:bodyDiv w:val="1"/>
      <w:marLeft w:val="0"/>
      <w:marRight w:val="0"/>
      <w:marTop w:val="0"/>
      <w:marBottom w:val="0"/>
      <w:divBdr>
        <w:top w:val="none" w:sz="0" w:space="0" w:color="auto"/>
        <w:left w:val="none" w:sz="0" w:space="0" w:color="auto"/>
        <w:bottom w:val="none" w:sz="0" w:space="0" w:color="auto"/>
        <w:right w:val="none" w:sz="0" w:space="0" w:color="auto"/>
      </w:divBdr>
    </w:div>
    <w:div w:id="1364869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emf"/><Relationship Id="rId42" Type="http://schemas.openxmlformats.org/officeDocument/2006/relationships/image" Target="media/image24.emf"/><Relationship Id="rId47" Type="http://schemas.openxmlformats.org/officeDocument/2006/relationships/image" Target="media/image29.jpeg"/><Relationship Id="rId63" Type="http://schemas.openxmlformats.org/officeDocument/2006/relationships/image" Target="media/image45.jpeg"/><Relationship Id="rId68" Type="http://schemas.openxmlformats.org/officeDocument/2006/relationships/image" Target="media/image50.emf"/><Relationship Id="rId84" Type="http://schemas.openxmlformats.org/officeDocument/2006/relationships/image" Target="media/image65.emf"/><Relationship Id="rId89" Type="http://schemas.openxmlformats.org/officeDocument/2006/relationships/image" Target="media/image70.emf"/><Relationship Id="rId112" Type="http://schemas.openxmlformats.org/officeDocument/2006/relationships/header" Target="header8.xml"/><Relationship Id="rId16" Type="http://schemas.openxmlformats.org/officeDocument/2006/relationships/image" Target="media/image5.emf"/><Relationship Id="rId107" Type="http://schemas.openxmlformats.org/officeDocument/2006/relationships/image" Target="media/image85.png"/><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20.emf"/><Relationship Id="rId37" Type="http://schemas.openxmlformats.org/officeDocument/2006/relationships/chart" Target="charts/chart4.xml"/><Relationship Id="rId40" Type="http://schemas.openxmlformats.org/officeDocument/2006/relationships/chart" Target="charts/chart7.xml"/><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image" Target="media/image40.wmf"/><Relationship Id="rId66" Type="http://schemas.openxmlformats.org/officeDocument/2006/relationships/image" Target="media/image48.gif"/><Relationship Id="rId74" Type="http://schemas.openxmlformats.org/officeDocument/2006/relationships/image" Target="media/image56.emf"/><Relationship Id="rId79" Type="http://schemas.openxmlformats.org/officeDocument/2006/relationships/image" Target="media/image61.emf"/><Relationship Id="rId87" Type="http://schemas.openxmlformats.org/officeDocument/2006/relationships/image" Target="media/image68.jpeg"/><Relationship Id="rId102" Type="http://schemas.openxmlformats.org/officeDocument/2006/relationships/image" Target="media/image80.emf"/><Relationship Id="rId110" Type="http://schemas.openxmlformats.org/officeDocument/2006/relationships/image" Target="media/image88.png"/><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emf"/><Relationship Id="rId82" Type="http://schemas.openxmlformats.org/officeDocument/2006/relationships/image" Target="media/image63.gif"/><Relationship Id="rId90" Type="http://schemas.openxmlformats.org/officeDocument/2006/relationships/image" Target="media/image71.png"/><Relationship Id="rId95" Type="http://schemas.openxmlformats.org/officeDocument/2006/relationships/header" Target="header6.xml"/><Relationship Id="rId19" Type="http://schemas.openxmlformats.org/officeDocument/2006/relationships/image" Target="media/image8.png"/><Relationship Id="rId14" Type="http://schemas.openxmlformats.org/officeDocument/2006/relationships/image" Target="media/image3.jpeg"/><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image" Target="media/image18.jpeg"/><Relationship Id="rId35" Type="http://schemas.openxmlformats.org/officeDocument/2006/relationships/chart" Target="charts/chart2.xml"/><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image" Target="media/image38.jpeg"/><Relationship Id="rId64" Type="http://schemas.openxmlformats.org/officeDocument/2006/relationships/image" Target="media/image46.emf"/><Relationship Id="rId69" Type="http://schemas.openxmlformats.org/officeDocument/2006/relationships/image" Target="media/image51.png"/><Relationship Id="rId77" Type="http://schemas.openxmlformats.org/officeDocument/2006/relationships/image" Target="media/image59.emf"/><Relationship Id="rId100" Type="http://schemas.openxmlformats.org/officeDocument/2006/relationships/image" Target="media/image78.jpeg"/><Relationship Id="rId105" Type="http://schemas.openxmlformats.org/officeDocument/2006/relationships/image" Target="media/image83.png"/><Relationship Id="rId113" Type="http://schemas.openxmlformats.org/officeDocument/2006/relationships/footer" Target="footer5.xml"/><Relationship Id="rId8" Type="http://schemas.openxmlformats.org/officeDocument/2006/relationships/header" Target="header1.xml"/><Relationship Id="rId51" Type="http://schemas.openxmlformats.org/officeDocument/2006/relationships/image" Target="media/image33.emf"/><Relationship Id="rId72" Type="http://schemas.openxmlformats.org/officeDocument/2006/relationships/image" Target="media/image54.emf"/><Relationship Id="rId80" Type="http://schemas.openxmlformats.org/officeDocument/2006/relationships/header" Target="header4.xml"/><Relationship Id="rId85" Type="http://schemas.openxmlformats.org/officeDocument/2006/relationships/image" Target="media/image66.emf"/><Relationship Id="rId93" Type="http://schemas.openxmlformats.org/officeDocument/2006/relationships/image" Target="media/image74.png"/><Relationship Id="rId98"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emf"/><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chart" Target="charts/chart5.xml"/><Relationship Id="rId46" Type="http://schemas.openxmlformats.org/officeDocument/2006/relationships/image" Target="media/image28.emf"/><Relationship Id="rId59" Type="http://schemas.openxmlformats.org/officeDocument/2006/relationships/image" Target="media/image41.jpeg"/><Relationship Id="rId67" Type="http://schemas.openxmlformats.org/officeDocument/2006/relationships/image" Target="media/image49.gif"/><Relationship Id="rId103" Type="http://schemas.openxmlformats.org/officeDocument/2006/relationships/image" Target="media/image81.emf"/><Relationship Id="rId108" Type="http://schemas.openxmlformats.org/officeDocument/2006/relationships/image" Target="media/image86.png"/><Relationship Id="rId20" Type="http://schemas.openxmlformats.org/officeDocument/2006/relationships/image" Target="media/image9.png"/><Relationship Id="rId41" Type="http://schemas.openxmlformats.org/officeDocument/2006/relationships/image" Target="media/image23.emf"/><Relationship Id="rId54" Type="http://schemas.openxmlformats.org/officeDocument/2006/relationships/image" Target="media/image36.wmf"/><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image" Target="media/image64.emf"/><Relationship Id="rId88" Type="http://schemas.openxmlformats.org/officeDocument/2006/relationships/image" Target="media/image69.jpeg"/><Relationship Id="rId91" Type="http://schemas.openxmlformats.org/officeDocument/2006/relationships/image" Target="media/image72.png"/><Relationship Id="rId96" Type="http://schemas.openxmlformats.org/officeDocument/2006/relationships/footer" Target="footer4.xml"/><Relationship Id="rId11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chart" Target="charts/chart1.xml"/><Relationship Id="rId28" Type="http://schemas.openxmlformats.org/officeDocument/2006/relationships/image" Target="media/image16.emf"/><Relationship Id="rId36" Type="http://schemas.openxmlformats.org/officeDocument/2006/relationships/chart" Target="charts/chart3.xml"/><Relationship Id="rId49" Type="http://schemas.openxmlformats.org/officeDocument/2006/relationships/image" Target="media/image31.wmf"/><Relationship Id="rId57" Type="http://schemas.openxmlformats.org/officeDocument/2006/relationships/image" Target="media/image39.wmf"/><Relationship Id="rId106" Type="http://schemas.openxmlformats.org/officeDocument/2006/relationships/image" Target="media/image84.png"/><Relationship Id="rId114"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19.jpe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emf"/><Relationship Id="rId65" Type="http://schemas.openxmlformats.org/officeDocument/2006/relationships/image" Target="media/image47.jpeg"/><Relationship Id="rId73" Type="http://schemas.openxmlformats.org/officeDocument/2006/relationships/image" Target="media/image55.emf"/><Relationship Id="rId78" Type="http://schemas.openxmlformats.org/officeDocument/2006/relationships/image" Target="media/image60.jpeg"/><Relationship Id="rId81" Type="http://schemas.openxmlformats.org/officeDocument/2006/relationships/image" Target="media/image62.emf"/><Relationship Id="rId86" Type="http://schemas.openxmlformats.org/officeDocument/2006/relationships/image" Target="media/image67.emf"/><Relationship Id="rId94" Type="http://schemas.openxmlformats.org/officeDocument/2006/relationships/header" Target="header5.xml"/><Relationship Id="rId99" Type="http://schemas.openxmlformats.org/officeDocument/2006/relationships/image" Target="media/image77.png"/><Relationship Id="rId101" Type="http://schemas.openxmlformats.org/officeDocument/2006/relationships/image" Target="media/image79.w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7.emf"/><Relationship Id="rId39" Type="http://schemas.openxmlformats.org/officeDocument/2006/relationships/chart" Target="charts/chart6.xml"/><Relationship Id="rId109" Type="http://schemas.openxmlformats.org/officeDocument/2006/relationships/image" Target="media/image87.png"/><Relationship Id="rId34" Type="http://schemas.openxmlformats.org/officeDocument/2006/relationships/image" Target="media/image22.emf"/><Relationship Id="rId50" Type="http://schemas.openxmlformats.org/officeDocument/2006/relationships/image" Target="media/image32.wmf"/><Relationship Id="rId55" Type="http://schemas.openxmlformats.org/officeDocument/2006/relationships/image" Target="media/image37.jpeg"/><Relationship Id="rId76" Type="http://schemas.openxmlformats.org/officeDocument/2006/relationships/image" Target="media/image58.emf"/><Relationship Id="rId97" Type="http://schemas.openxmlformats.org/officeDocument/2006/relationships/image" Target="media/image75.png"/><Relationship Id="rId104" Type="http://schemas.openxmlformats.org/officeDocument/2006/relationships/image" Target="media/image82.emf"/><Relationship Id="rId7" Type="http://schemas.openxmlformats.org/officeDocument/2006/relationships/endnotes" Target="endnotes.xml"/><Relationship Id="rId71" Type="http://schemas.openxmlformats.org/officeDocument/2006/relationships/image" Target="media/image53.emf"/><Relationship Id="rId92" Type="http://schemas.openxmlformats.org/officeDocument/2006/relationships/image" Target="media/image73.emf"/><Relationship Id="rId2" Type="http://schemas.openxmlformats.org/officeDocument/2006/relationships/numbering" Target="numbering.xml"/><Relationship Id="rId29" Type="http://schemas.openxmlformats.org/officeDocument/2006/relationships/image" Target="media/image17.em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G:\Plan%20Manejo%20HLOP\PIB_PM.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IGH\JP\nuevas%20coordenadas\Estaciones_HLOP%20a%20200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IGH\JP\nuevas%20coordenadas\Estaciones_HLOP%20a%20200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IGH\JP\nuevas%20coordenadas\Estaciones_HLOP%20a%20200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IGH\JP\nuevas%20coordenadas\Estaciones_HLOP%20a%202008.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IGH\JP\nuevas%20coordenadas\Estaciones_HLOP%20a%202008.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IGH\JP\nuevas%20coordenadas\Estaciones_HLOP%20a%20200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MX"/>
  <c:chart>
    <c:plotArea>
      <c:layout/>
      <c:lineChart>
        <c:grouping val="standard"/>
        <c:ser>
          <c:idx val="2"/>
          <c:order val="0"/>
          <c:tx>
            <c:strRef>
              <c:f>Hoja1!$A$6</c:f>
              <c:strCache>
                <c:ptCount val="1"/>
                <c:pt idx="0">
                  <c:v>Puebla</c:v>
                </c:pt>
              </c:strCache>
            </c:strRef>
          </c:tx>
          <c:cat>
            <c:strRef>
              <c:f>Hoja1!$B$2:$F$3</c:f>
              <c:strCache>
                <c:ptCount val="5"/>
                <c:pt idx="0">
                  <c:v>2003</c:v>
                </c:pt>
                <c:pt idx="1">
                  <c:v>2004</c:v>
                </c:pt>
                <c:pt idx="2">
                  <c:v>2005</c:v>
                </c:pt>
                <c:pt idx="3">
                  <c:v>2006</c:v>
                </c:pt>
                <c:pt idx="4">
                  <c:v>2007</c:v>
                </c:pt>
              </c:strCache>
            </c:strRef>
          </c:cat>
          <c:val>
            <c:numRef>
              <c:f>Hoja1!$G$6:$K$6</c:f>
              <c:numCache>
                <c:formatCode>#,##0.00</c:formatCode>
                <c:ptCount val="5"/>
                <c:pt idx="0">
                  <c:v>3.42</c:v>
                </c:pt>
                <c:pt idx="1">
                  <c:v>3.27</c:v>
                </c:pt>
                <c:pt idx="2">
                  <c:v>3.3699999999999997</c:v>
                </c:pt>
                <c:pt idx="3">
                  <c:v>3.34</c:v>
                </c:pt>
                <c:pt idx="4">
                  <c:v>3.3499999999999988</c:v>
                </c:pt>
              </c:numCache>
            </c:numRef>
          </c:val>
        </c:ser>
        <c:ser>
          <c:idx val="3"/>
          <c:order val="1"/>
          <c:tx>
            <c:strRef>
              <c:f>Hoja1!$A$7</c:f>
              <c:strCache>
                <c:ptCount val="1"/>
                <c:pt idx="0">
                  <c:v>Tlaxcala</c:v>
                </c:pt>
              </c:strCache>
            </c:strRef>
          </c:tx>
          <c:cat>
            <c:strRef>
              <c:f>Hoja1!$B$2:$F$3</c:f>
              <c:strCache>
                <c:ptCount val="5"/>
                <c:pt idx="0">
                  <c:v>2003</c:v>
                </c:pt>
                <c:pt idx="1">
                  <c:v>2004</c:v>
                </c:pt>
                <c:pt idx="2">
                  <c:v>2005</c:v>
                </c:pt>
                <c:pt idx="3">
                  <c:v>2006</c:v>
                </c:pt>
                <c:pt idx="4">
                  <c:v>2007</c:v>
                </c:pt>
              </c:strCache>
            </c:strRef>
          </c:cat>
          <c:val>
            <c:numRef>
              <c:f>Hoja1!$G$7:$K$7</c:f>
              <c:numCache>
                <c:formatCode>#,##0.00</c:formatCode>
                <c:ptCount val="5"/>
                <c:pt idx="0">
                  <c:v>0.59000000000000052</c:v>
                </c:pt>
                <c:pt idx="1">
                  <c:v>0.58000000000000052</c:v>
                </c:pt>
                <c:pt idx="2">
                  <c:v>0.54</c:v>
                </c:pt>
                <c:pt idx="3">
                  <c:v>0.53</c:v>
                </c:pt>
                <c:pt idx="4">
                  <c:v>0.53</c:v>
                </c:pt>
              </c:numCache>
            </c:numRef>
          </c:val>
        </c:ser>
        <c:ser>
          <c:idx val="4"/>
          <c:order val="2"/>
          <c:tx>
            <c:strRef>
              <c:f>Hoja1!$A$8</c:f>
              <c:strCache>
                <c:ptCount val="1"/>
                <c:pt idx="0">
                  <c:v>Veracruz</c:v>
                </c:pt>
              </c:strCache>
            </c:strRef>
          </c:tx>
          <c:cat>
            <c:strRef>
              <c:f>Hoja1!$B$2:$F$3</c:f>
              <c:strCache>
                <c:ptCount val="5"/>
                <c:pt idx="0">
                  <c:v>2003</c:v>
                </c:pt>
                <c:pt idx="1">
                  <c:v>2004</c:v>
                </c:pt>
                <c:pt idx="2">
                  <c:v>2005</c:v>
                </c:pt>
                <c:pt idx="3">
                  <c:v>2006</c:v>
                </c:pt>
                <c:pt idx="4">
                  <c:v>2007</c:v>
                </c:pt>
              </c:strCache>
            </c:strRef>
          </c:cat>
          <c:val>
            <c:numRef>
              <c:f>Hoja1!$G$8:$K$8</c:f>
              <c:numCache>
                <c:formatCode>#,##0.00</c:formatCode>
                <c:ptCount val="5"/>
                <c:pt idx="0">
                  <c:v>4.38</c:v>
                </c:pt>
                <c:pt idx="1">
                  <c:v>4.4700000000000024</c:v>
                </c:pt>
                <c:pt idx="2">
                  <c:v>4.5</c:v>
                </c:pt>
                <c:pt idx="3">
                  <c:v>4.6199999999999966</c:v>
                </c:pt>
                <c:pt idx="4">
                  <c:v>4.6499999999999995</c:v>
                </c:pt>
              </c:numCache>
            </c:numRef>
          </c:val>
        </c:ser>
        <c:marker val="1"/>
        <c:axId val="121139584"/>
        <c:axId val="121141120"/>
      </c:lineChart>
      <c:catAx>
        <c:axId val="121139584"/>
        <c:scaling>
          <c:orientation val="minMax"/>
        </c:scaling>
        <c:axPos val="b"/>
        <c:tickLblPos val="nextTo"/>
        <c:crossAx val="121141120"/>
        <c:crosses val="autoZero"/>
        <c:auto val="1"/>
        <c:lblAlgn val="ctr"/>
        <c:lblOffset val="100"/>
      </c:catAx>
      <c:valAx>
        <c:axId val="121141120"/>
        <c:scaling>
          <c:orientation val="minMax"/>
          <c:max val="5"/>
        </c:scaling>
        <c:axPos val="l"/>
        <c:majorGridlines/>
        <c:numFmt formatCode="#,##0.00" sourceLinked="1"/>
        <c:tickLblPos val="nextTo"/>
        <c:crossAx val="121139584"/>
        <c:crosses val="autoZero"/>
        <c:crossBetween val="between"/>
        <c:minorUnit val="1"/>
      </c:valAx>
    </c:plotArea>
    <c:legend>
      <c:legendPos val="b"/>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s-MX"/>
  <c:chart>
    <c:autoTitleDeleted val="1"/>
    <c:plotArea>
      <c:layout>
        <c:manualLayout>
          <c:layoutTarget val="inner"/>
          <c:xMode val="edge"/>
          <c:yMode val="edge"/>
          <c:x val="0.11943183059325313"/>
          <c:y val="0.14252846373471423"/>
          <c:w val="0.84589257421089659"/>
          <c:h val="0.69729063437242145"/>
        </c:manualLayout>
      </c:layout>
      <c:barChart>
        <c:barDir val="col"/>
        <c:grouping val="clustered"/>
        <c:ser>
          <c:idx val="0"/>
          <c:order val="0"/>
          <c:spPr>
            <a:solidFill>
              <a:srgbClr val="0000CC"/>
            </a:solidFill>
          </c:spPr>
          <c:cat>
            <c:numRef>
              <c:f>'precip ponderada'!$M$106:$M$147</c:f>
              <c:numCache>
                <c:formatCode>General</c:formatCode>
                <c:ptCount val="42"/>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pt idx="40">
                  <c:v>2007</c:v>
                </c:pt>
                <c:pt idx="41">
                  <c:v>2008</c:v>
                </c:pt>
              </c:numCache>
            </c:numRef>
          </c:cat>
          <c:val>
            <c:numRef>
              <c:f>'precip ponderada'!$Z$106:$Z$147</c:f>
              <c:numCache>
                <c:formatCode>0.00</c:formatCode>
                <c:ptCount val="42"/>
                <c:pt idx="0">
                  <c:v>650.82879950647805</c:v>
                </c:pt>
                <c:pt idx="1">
                  <c:v>696.52745436591749</c:v>
                </c:pt>
                <c:pt idx="2">
                  <c:v>583.75996258026839</c:v>
                </c:pt>
                <c:pt idx="3">
                  <c:v>577.9273350095807</c:v>
                </c:pt>
                <c:pt idx="4">
                  <c:v>559.04551006553947</c:v>
                </c:pt>
                <c:pt idx="5">
                  <c:v>641.3889461975956</c:v>
                </c:pt>
                <c:pt idx="6">
                  <c:v>672.36263561707949</c:v>
                </c:pt>
                <c:pt idx="7">
                  <c:v>672.85206000907249</c:v>
                </c:pt>
                <c:pt idx="8">
                  <c:v>650.18125550930154</c:v>
                </c:pt>
                <c:pt idx="9">
                  <c:v>732.83091001820037</c:v>
                </c:pt>
                <c:pt idx="10">
                  <c:v>547.31478093856879</c:v>
                </c:pt>
                <c:pt idx="11">
                  <c:v>599.18093953974596</c:v>
                </c:pt>
                <c:pt idx="12">
                  <c:v>749.52828140622159</c:v>
                </c:pt>
                <c:pt idx="13">
                  <c:v>662.46459199439948</c:v>
                </c:pt>
                <c:pt idx="14">
                  <c:v>815.62376846899053</c:v>
                </c:pt>
                <c:pt idx="15">
                  <c:v>489.29085418025215</c:v>
                </c:pt>
                <c:pt idx="16">
                  <c:v>414.63389961624233</c:v>
                </c:pt>
                <c:pt idx="17">
                  <c:v>668.14509281939752</c:v>
                </c:pt>
                <c:pt idx="18">
                  <c:v>597.86221308198719</c:v>
                </c:pt>
                <c:pt idx="19">
                  <c:v>690.87391045033053</c:v>
                </c:pt>
                <c:pt idx="20">
                  <c:v>634.56687043488341</c:v>
                </c:pt>
                <c:pt idx="21">
                  <c:v>674.55361066442447</c:v>
                </c:pt>
                <c:pt idx="22">
                  <c:v>564.63880030182304</c:v>
                </c:pt>
                <c:pt idx="23">
                  <c:v>578.60761103662253</c:v>
                </c:pt>
                <c:pt idx="24">
                  <c:v>617.32266643858247</c:v>
                </c:pt>
                <c:pt idx="25">
                  <c:v>767.35444642470247</c:v>
                </c:pt>
                <c:pt idx="26">
                  <c:v>454.6057168806272</c:v>
                </c:pt>
                <c:pt idx="27">
                  <c:v>575.32923940818614</c:v>
                </c:pt>
                <c:pt idx="28">
                  <c:v>770.9173006985144</c:v>
                </c:pt>
                <c:pt idx="29">
                  <c:v>593.85094869172246</c:v>
                </c:pt>
                <c:pt idx="30">
                  <c:v>633.43052315122748</c:v>
                </c:pt>
                <c:pt idx="31">
                  <c:v>552.08868537530554</c:v>
                </c:pt>
                <c:pt idx="32">
                  <c:v>633.2020760519415</c:v>
                </c:pt>
                <c:pt idx="33">
                  <c:v>511.01543302270358</c:v>
                </c:pt>
                <c:pt idx="34">
                  <c:v>665.22849267529955</c:v>
                </c:pt>
                <c:pt idx="35">
                  <c:v>668.68474928685418</c:v>
                </c:pt>
                <c:pt idx="36">
                  <c:v>681.64859384691522</c:v>
                </c:pt>
                <c:pt idx="37">
                  <c:v>692.74509320094774</c:v>
                </c:pt>
                <c:pt idx="38">
                  <c:v>496.07166753110226</c:v>
                </c:pt>
                <c:pt idx="39">
                  <c:v>696.02345951659549</c:v>
                </c:pt>
                <c:pt idx="40">
                  <c:v>695.59049711016655</c:v>
                </c:pt>
                <c:pt idx="41">
                  <c:v>684.4653567105579</c:v>
                </c:pt>
              </c:numCache>
            </c:numRef>
          </c:val>
        </c:ser>
        <c:axId val="132671360"/>
        <c:axId val="132672896"/>
      </c:barChart>
      <c:lineChart>
        <c:grouping val="standard"/>
        <c:ser>
          <c:idx val="1"/>
          <c:order val="1"/>
          <c:tx>
            <c:v>promedio</c:v>
          </c:tx>
          <c:spPr>
            <a:ln w="19050">
              <a:solidFill>
                <a:srgbClr val="C00000"/>
              </a:solidFill>
            </a:ln>
          </c:spPr>
          <c:marker>
            <c:symbol val="none"/>
          </c:marker>
          <c:dLbls>
            <c:dLbl>
              <c:idx val="1"/>
              <c:layout>
                <c:manualLayout>
                  <c:x val="-1.6666666666666701E-2"/>
                  <c:y val="-3.4858387799564412E-2"/>
                </c:manualLayout>
              </c:layout>
              <c:spPr/>
              <c:txPr>
                <a:bodyPr/>
                <a:lstStyle/>
                <a:p>
                  <a:pPr>
                    <a:defRPr i="1"/>
                  </a:pPr>
                  <a:endParaRPr lang="es-MX"/>
                </a:p>
              </c:txPr>
              <c:showVal val="1"/>
            </c:dLbl>
            <c:delete val="1"/>
          </c:dLbls>
          <c:cat>
            <c:numRef>
              <c:f>'precip ponderada'!$M$106:$M$147</c:f>
              <c:numCache>
                <c:formatCode>General</c:formatCode>
                <c:ptCount val="42"/>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pt idx="40">
                  <c:v>2007</c:v>
                </c:pt>
                <c:pt idx="41">
                  <c:v>2008</c:v>
                </c:pt>
              </c:numCache>
            </c:numRef>
          </c:cat>
          <c:val>
            <c:numRef>
              <c:f>'precip ponderada'!$AB$106:$AB$147</c:f>
              <c:numCache>
                <c:formatCode>0.00</c:formatCode>
                <c:ptCount val="42"/>
                <c:pt idx="0">
                  <c:v>631.29916761511652</c:v>
                </c:pt>
                <c:pt idx="1">
                  <c:v>631.29916761511652</c:v>
                </c:pt>
                <c:pt idx="2">
                  <c:v>631.29916761511652</c:v>
                </c:pt>
                <c:pt idx="3">
                  <c:v>631.29916761511652</c:v>
                </c:pt>
                <c:pt idx="4">
                  <c:v>631.29916761511652</c:v>
                </c:pt>
                <c:pt idx="5">
                  <c:v>631.29916761511652</c:v>
                </c:pt>
                <c:pt idx="6">
                  <c:v>631.29916761511652</c:v>
                </c:pt>
                <c:pt idx="7">
                  <c:v>631.29916761511652</c:v>
                </c:pt>
                <c:pt idx="8">
                  <c:v>631.29916761511652</c:v>
                </c:pt>
                <c:pt idx="9">
                  <c:v>631.29916761511652</c:v>
                </c:pt>
                <c:pt idx="10">
                  <c:v>631.29916761511652</c:v>
                </c:pt>
                <c:pt idx="11">
                  <c:v>631.29916761511652</c:v>
                </c:pt>
                <c:pt idx="12">
                  <c:v>631.29916761511652</c:v>
                </c:pt>
                <c:pt idx="13">
                  <c:v>631.29916761511652</c:v>
                </c:pt>
                <c:pt idx="14">
                  <c:v>631.29916761511652</c:v>
                </c:pt>
                <c:pt idx="15">
                  <c:v>631.29916761511652</c:v>
                </c:pt>
                <c:pt idx="16">
                  <c:v>631.29916761511652</c:v>
                </c:pt>
                <c:pt idx="17">
                  <c:v>631.29916761511652</c:v>
                </c:pt>
                <c:pt idx="18">
                  <c:v>631.29916761511652</c:v>
                </c:pt>
                <c:pt idx="19">
                  <c:v>631.29916761511652</c:v>
                </c:pt>
                <c:pt idx="20">
                  <c:v>631.29916761511652</c:v>
                </c:pt>
                <c:pt idx="21">
                  <c:v>631.29916761511652</c:v>
                </c:pt>
                <c:pt idx="22">
                  <c:v>631.29916761511652</c:v>
                </c:pt>
                <c:pt idx="23">
                  <c:v>631.29916761511652</c:v>
                </c:pt>
                <c:pt idx="24">
                  <c:v>631.29916761511652</c:v>
                </c:pt>
                <c:pt idx="25">
                  <c:v>631.29916761511652</c:v>
                </c:pt>
                <c:pt idx="26">
                  <c:v>631.29916761511652</c:v>
                </c:pt>
                <c:pt idx="27">
                  <c:v>631.29916761511652</c:v>
                </c:pt>
                <c:pt idx="28">
                  <c:v>631.29916761511652</c:v>
                </c:pt>
                <c:pt idx="29">
                  <c:v>631.29916761511652</c:v>
                </c:pt>
                <c:pt idx="30">
                  <c:v>631.29916761511652</c:v>
                </c:pt>
                <c:pt idx="31">
                  <c:v>631.29916761511652</c:v>
                </c:pt>
                <c:pt idx="32">
                  <c:v>631.29916761511652</c:v>
                </c:pt>
                <c:pt idx="33">
                  <c:v>631.29916761511652</c:v>
                </c:pt>
                <c:pt idx="34">
                  <c:v>631.29916761511652</c:v>
                </c:pt>
                <c:pt idx="35">
                  <c:v>631.29916761511652</c:v>
                </c:pt>
                <c:pt idx="36">
                  <c:v>631.29916761511652</c:v>
                </c:pt>
                <c:pt idx="37">
                  <c:v>631.29916761511652</c:v>
                </c:pt>
                <c:pt idx="38">
                  <c:v>631.29916761511652</c:v>
                </c:pt>
                <c:pt idx="39">
                  <c:v>631.29916761511652</c:v>
                </c:pt>
                <c:pt idx="40">
                  <c:v>631.29916761511652</c:v>
                </c:pt>
                <c:pt idx="41">
                  <c:v>631.29916761511652</c:v>
                </c:pt>
              </c:numCache>
            </c:numRef>
          </c:val>
        </c:ser>
        <c:marker val="1"/>
        <c:axId val="132671360"/>
        <c:axId val="132672896"/>
      </c:lineChart>
      <c:catAx>
        <c:axId val="132671360"/>
        <c:scaling>
          <c:orientation val="minMax"/>
        </c:scaling>
        <c:axPos val="b"/>
        <c:numFmt formatCode="General" sourceLinked="1"/>
        <c:tickLblPos val="nextTo"/>
        <c:txPr>
          <a:bodyPr rot="-5400000" vert="horz"/>
          <a:lstStyle/>
          <a:p>
            <a:pPr>
              <a:defRPr sz="800"/>
            </a:pPr>
            <a:endParaRPr lang="es-MX"/>
          </a:p>
        </c:txPr>
        <c:crossAx val="132672896"/>
        <c:crosses val="autoZero"/>
        <c:auto val="1"/>
        <c:lblAlgn val="ctr"/>
        <c:lblOffset val="100"/>
        <c:tickLblSkip val="1"/>
      </c:catAx>
      <c:valAx>
        <c:axId val="132672896"/>
        <c:scaling>
          <c:orientation val="minMax"/>
        </c:scaling>
        <c:axPos val="l"/>
        <c:majorGridlines/>
        <c:numFmt formatCode="0" sourceLinked="0"/>
        <c:tickLblPos val="nextTo"/>
        <c:txPr>
          <a:bodyPr/>
          <a:lstStyle/>
          <a:p>
            <a:pPr>
              <a:defRPr sz="900"/>
            </a:pPr>
            <a:endParaRPr lang="es-MX"/>
          </a:p>
        </c:txPr>
        <c:crossAx val="132671360"/>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s-MX"/>
  <c:chart>
    <c:autoTitleDeleted val="1"/>
    <c:plotArea>
      <c:layout/>
      <c:barChart>
        <c:barDir val="col"/>
        <c:grouping val="clustered"/>
        <c:ser>
          <c:idx val="0"/>
          <c:order val="0"/>
          <c:tx>
            <c:v>Precipitación media mensual</c:v>
          </c:tx>
          <c:spPr>
            <a:gradFill>
              <a:gsLst>
                <a:gs pos="0">
                  <a:srgbClr val="3399FF"/>
                </a:gs>
                <a:gs pos="16000">
                  <a:srgbClr val="00CCCC"/>
                </a:gs>
                <a:gs pos="47000">
                  <a:srgbClr val="9999FF"/>
                </a:gs>
                <a:gs pos="60001">
                  <a:srgbClr val="2E6792"/>
                </a:gs>
                <a:gs pos="71001">
                  <a:srgbClr val="3333CC"/>
                </a:gs>
                <a:gs pos="81000">
                  <a:srgbClr val="1170FF"/>
                </a:gs>
                <a:gs pos="100000">
                  <a:srgbClr val="006699"/>
                </a:gs>
              </a:gsLst>
              <a:lin ang="5400000" scaled="0"/>
            </a:gradFill>
            <a:ln>
              <a:solidFill>
                <a:srgbClr val="0000CC"/>
              </a:solidFill>
            </a:ln>
          </c:spPr>
          <c:dLbls>
            <c:numFmt formatCode="#,##0.0" sourceLinked="0"/>
            <c:txPr>
              <a:bodyPr/>
              <a:lstStyle/>
              <a:p>
                <a:pPr>
                  <a:defRPr>
                    <a:solidFill>
                      <a:srgbClr val="000066"/>
                    </a:solidFill>
                  </a:defRPr>
                </a:pPr>
                <a:endParaRPr lang="es-MX"/>
              </a:p>
            </c:txPr>
            <c:showVal val="1"/>
          </c:dLbls>
          <c:cat>
            <c:strRef>
              <c:f>'precip ponderada'!$N$105:$Y$105</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'precip ponderada'!$N$149:$Y$149</c:f>
              <c:numCache>
                <c:formatCode>0.00</c:formatCode>
                <c:ptCount val="12"/>
                <c:pt idx="0">
                  <c:v>8.8349544944143616</c:v>
                </c:pt>
                <c:pt idx="1">
                  <c:v>9.347280036347426</c:v>
                </c:pt>
                <c:pt idx="2">
                  <c:v>17.080238207041155</c:v>
                </c:pt>
                <c:pt idx="3">
                  <c:v>45.893337478753246</c:v>
                </c:pt>
                <c:pt idx="4">
                  <c:v>82.777680388960093</c:v>
                </c:pt>
                <c:pt idx="5">
                  <c:v>120.37468871411421</c:v>
                </c:pt>
                <c:pt idx="6">
                  <c:v>92.307955682784979</c:v>
                </c:pt>
                <c:pt idx="7">
                  <c:v>96.749418664304201</c:v>
                </c:pt>
                <c:pt idx="8">
                  <c:v>89.320425756178281</c:v>
                </c:pt>
                <c:pt idx="9">
                  <c:v>48.849650753037892</c:v>
                </c:pt>
                <c:pt idx="10">
                  <c:v>13.137332477894548</c:v>
                </c:pt>
                <c:pt idx="11">
                  <c:v>6.6262049612851976</c:v>
                </c:pt>
              </c:numCache>
            </c:numRef>
          </c:val>
        </c:ser>
        <c:axId val="132706688"/>
        <c:axId val="132708224"/>
      </c:barChart>
      <c:lineChart>
        <c:grouping val="standard"/>
        <c:ser>
          <c:idx val="1"/>
          <c:order val="1"/>
          <c:tx>
            <c:v>media</c:v>
          </c:tx>
          <c:spPr>
            <a:ln w="19050">
              <a:solidFill>
                <a:srgbClr val="C00000"/>
              </a:solidFill>
            </a:ln>
          </c:spPr>
          <c:marker>
            <c:symbol val="none"/>
          </c:marker>
          <c:dLbls>
            <c:dLbl>
              <c:idx val="0"/>
              <c:layout>
                <c:manualLayout>
                  <c:x val="0"/>
                  <c:y val="-4.1666666666666664E-2"/>
                </c:manualLayout>
              </c:layout>
              <c:spPr/>
              <c:txPr>
                <a:bodyPr/>
                <a:lstStyle/>
                <a:p>
                  <a:pPr>
                    <a:defRPr i="1"/>
                  </a:pPr>
                  <a:endParaRPr lang="es-MX"/>
                </a:p>
              </c:txPr>
              <c:showVal val="1"/>
            </c:dLbl>
            <c:delete val="1"/>
          </c:dLbls>
          <c:cat>
            <c:strRef>
              <c:f>'precip ponderada'!$N$105:$Y$105</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'precip ponderada'!$N$150:$Y$150</c:f>
              <c:numCache>
                <c:formatCode>0.00</c:formatCode>
                <c:ptCount val="12"/>
                <c:pt idx="0">
                  <c:v>52.608263967926341</c:v>
                </c:pt>
                <c:pt idx="1">
                  <c:v>52.608263967926341</c:v>
                </c:pt>
                <c:pt idx="2">
                  <c:v>52.608263967926341</c:v>
                </c:pt>
                <c:pt idx="3">
                  <c:v>52.608263967926341</c:v>
                </c:pt>
                <c:pt idx="4">
                  <c:v>52.608263967926341</c:v>
                </c:pt>
                <c:pt idx="5">
                  <c:v>52.608263967926341</c:v>
                </c:pt>
                <c:pt idx="6">
                  <c:v>52.608263967926341</c:v>
                </c:pt>
                <c:pt idx="7">
                  <c:v>52.608263967926341</c:v>
                </c:pt>
                <c:pt idx="8">
                  <c:v>52.608263967926341</c:v>
                </c:pt>
                <c:pt idx="9">
                  <c:v>52.608263967926341</c:v>
                </c:pt>
                <c:pt idx="10">
                  <c:v>52.608263967926341</c:v>
                </c:pt>
                <c:pt idx="11">
                  <c:v>52.608263967926341</c:v>
                </c:pt>
              </c:numCache>
            </c:numRef>
          </c:val>
        </c:ser>
        <c:marker val="1"/>
        <c:axId val="132706688"/>
        <c:axId val="132708224"/>
      </c:lineChart>
      <c:catAx>
        <c:axId val="132706688"/>
        <c:scaling>
          <c:orientation val="minMax"/>
        </c:scaling>
        <c:axPos val="b"/>
        <c:tickLblPos val="nextTo"/>
        <c:crossAx val="132708224"/>
        <c:crosses val="autoZero"/>
        <c:auto val="1"/>
        <c:lblAlgn val="ctr"/>
        <c:lblOffset val="100"/>
      </c:catAx>
      <c:valAx>
        <c:axId val="132708224"/>
        <c:scaling>
          <c:orientation val="minMax"/>
        </c:scaling>
        <c:axPos val="l"/>
        <c:majorGridlines/>
        <c:numFmt formatCode="0" sourceLinked="0"/>
        <c:tickLblPos val="nextTo"/>
        <c:crossAx val="132706688"/>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s-MX"/>
  <c:chart>
    <c:autoTitleDeleted val="1"/>
    <c:plotArea>
      <c:layout>
        <c:manualLayout>
          <c:layoutTarget val="inner"/>
          <c:xMode val="edge"/>
          <c:yMode val="edge"/>
          <c:x val="0.11450218722659669"/>
          <c:y val="0.11219645523361613"/>
          <c:w val="0.8535999562554758"/>
          <c:h val="0.70147888070993458"/>
        </c:manualLayout>
      </c:layout>
      <c:barChart>
        <c:barDir val="col"/>
        <c:grouping val="clustered"/>
        <c:ser>
          <c:idx val="0"/>
          <c:order val="0"/>
          <c:tx>
            <c:v>precipitación media anual</c:v>
          </c:tx>
          <c:spPr>
            <a:solidFill>
              <a:srgbClr val="0000CC"/>
            </a:solidFill>
          </c:spPr>
          <c:cat>
            <c:numRef>
              <c:f>'precip ponderada'!$M$56:$M$97</c:f>
              <c:numCache>
                <c:formatCode>General</c:formatCode>
                <c:ptCount val="42"/>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pt idx="40">
                  <c:v>2007</c:v>
                </c:pt>
                <c:pt idx="41">
                  <c:v>2008</c:v>
                </c:pt>
              </c:numCache>
            </c:numRef>
          </c:cat>
          <c:val>
            <c:numRef>
              <c:f>'precip ponderada'!$Z$56:$Z$97</c:f>
              <c:numCache>
                <c:formatCode>0.00</c:formatCode>
                <c:ptCount val="42"/>
                <c:pt idx="0">
                  <c:v>619.12146961574047</c:v>
                </c:pt>
                <c:pt idx="1">
                  <c:v>683.06039907956051</c:v>
                </c:pt>
                <c:pt idx="2">
                  <c:v>690.94799036082691</c:v>
                </c:pt>
                <c:pt idx="3">
                  <c:v>601.8633265421746</c:v>
                </c:pt>
                <c:pt idx="4">
                  <c:v>557.73114873511781</c:v>
                </c:pt>
                <c:pt idx="5">
                  <c:v>671.80086143055769</c:v>
                </c:pt>
                <c:pt idx="6">
                  <c:v>720.23376417863142</c:v>
                </c:pt>
                <c:pt idx="7">
                  <c:v>689.90268557330273</c:v>
                </c:pt>
                <c:pt idx="8">
                  <c:v>621.29378846523855</c:v>
                </c:pt>
                <c:pt idx="9">
                  <c:v>845.05260947862678</c:v>
                </c:pt>
                <c:pt idx="10">
                  <c:v>512.43011926403949</c:v>
                </c:pt>
                <c:pt idx="11">
                  <c:v>638.02505485644167</c:v>
                </c:pt>
                <c:pt idx="12">
                  <c:v>655.25363041268304</c:v>
                </c:pt>
                <c:pt idx="13">
                  <c:v>663.34458852111572</c:v>
                </c:pt>
                <c:pt idx="14">
                  <c:v>854.20303701155854</c:v>
                </c:pt>
                <c:pt idx="15">
                  <c:v>507.78997402112327</c:v>
                </c:pt>
                <c:pt idx="16">
                  <c:v>499.84907692959234</c:v>
                </c:pt>
                <c:pt idx="17">
                  <c:v>695.65281540185447</c:v>
                </c:pt>
                <c:pt idx="18">
                  <c:v>606.42154315819153</c:v>
                </c:pt>
                <c:pt idx="19">
                  <c:v>573.11340123086484</c:v>
                </c:pt>
                <c:pt idx="20">
                  <c:v>493.90908749025056</c:v>
                </c:pt>
                <c:pt idx="21">
                  <c:v>574.14692700527246</c:v>
                </c:pt>
                <c:pt idx="22">
                  <c:v>644.57556351337053</c:v>
                </c:pt>
                <c:pt idx="23">
                  <c:v>586.5466234513724</c:v>
                </c:pt>
                <c:pt idx="24">
                  <c:v>657.48118268379767</c:v>
                </c:pt>
                <c:pt idx="25">
                  <c:v>838.25841862870254</c:v>
                </c:pt>
                <c:pt idx="26">
                  <c:v>562.72268479390027</c:v>
                </c:pt>
                <c:pt idx="27">
                  <c:v>484.61290550477406</c:v>
                </c:pt>
                <c:pt idx="28">
                  <c:v>722.91050026958305</c:v>
                </c:pt>
                <c:pt idx="29">
                  <c:v>560.07013473480151</c:v>
                </c:pt>
                <c:pt idx="30">
                  <c:v>653.4967602657116</c:v>
                </c:pt>
                <c:pt idx="31">
                  <c:v>541.85094315840547</c:v>
                </c:pt>
                <c:pt idx="32">
                  <c:v>634.12851213219801</c:v>
                </c:pt>
                <c:pt idx="33">
                  <c:v>553.00492448520197</c:v>
                </c:pt>
                <c:pt idx="34">
                  <c:v>566.92813512921839</c:v>
                </c:pt>
                <c:pt idx="35">
                  <c:v>500.46222976935871</c:v>
                </c:pt>
                <c:pt idx="36">
                  <c:v>555.83771335674328</c:v>
                </c:pt>
                <c:pt idx="37">
                  <c:v>629.43050382268541</c:v>
                </c:pt>
                <c:pt idx="38">
                  <c:v>540.3647870321106</c:v>
                </c:pt>
                <c:pt idx="39">
                  <c:v>721.19757122937813</c:v>
                </c:pt>
                <c:pt idx="40">
                  <c:v>662.18461193016935</c:v>
                </c:pt>
                <c:pt idx="41">
                  <c:v>654.45740454140298</c:v>
                </c:pt>
              </c:numCache>
            </c:numRef>
          </c:val>
        </c:ser>
        <c:axId val="119128448"/>
        <c:axId val="119129984"/>
      </c:barChart>
      <c:lineChart>
        <c:grouping val="standard"/>
        <c:ser>
          <c:idx val="1"/>
          <c:order val="1"/>
          <c:tx>
            <c:v>promedio</c:v>
          </c:tx>
          <c:spPr>
            <a:ln w="19050">
              <a:solidFill>
                <a:srgbClr val="C00000"/>
              </a:solidFill>
            </a:ln>
          </c:spPr>
          <c:marker>
            <c:symbol val="none"/>
          </c:marker>
          <c:dLbls>
            <c:dLbl>
              <c:idx val="31"/>
              <c:layout>
                <c:manualLayout>
                  <c:x val="1.6666666666666781E-2"/>
                  <c:y val="-2.6330220354918932E-2"/>
                </c:manualLayout>
              </c:layout>
              <c:spPr/>
              <c:txPr>
                <a:bodyPr/>
                <a:lstStyle/>
                <a:p>
                  <a:pPr>
                    <a:defRPr i="1"/>
                  </a:pPr>
                  <a:endParaRPr lang="es-MX"/>
                </a:p>
              </c:txPr>
              <c:showVal val="1"/>
            </c:dLbl>
            <c:delete val="1"/>
          </c:dLbls>
          <c:cat>
            <c:numRef>
              <c:f>'precip ponderada'!$M$56:$M$97</c:f>
              <c:numCache>
                <c:formatCode>General</c:formatCode>
                <c:ptCount val="42"/>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pt idx="40">
                  <c:v>2007</c:v>
                </c:pt>
                <c:pt idx="41">
                  <c:v>2008</c:v>
                </c:pt>
              </c:numCache>
            </c:numRef>
          </c:cat>
          <c:val>
            <c:numRef>
              <c:f>'precip ponderada'!$AB$56:$AB$97</c:f>
              <c:numCache>
                <c:formatCode>0.00</c:formatCode>
                <c:ptCount val="42"/>
                <c:pt idx="0">
                  <c:v>624.89689069513429</c:v>
                </c:pt>
                <c:pt idx="1">
                  <c:v>624.89689069513429</c:v>
                </c:pt>
                <c:pt idx="2">
                  <c:v>624.89689069513429</c:v>
                </c:pt>
                <c:pt idx="3">
                  <c:v>624.89689069513429</c:v>
                </c:pt>
                <c:pt idx="4">
                  <c:v>624.89689069513429</c:v>
                </c:pt>
                <c:pt idx="5">
                  <c:v>624.89689069513429</c:v>
                </c:pt>
                <c:pt idx="6">
                  <c:v>624.89689069513429</c:v>
                </c:pt>
                <c:pt idx="7">
                  <c:v>624.89689069513429</c:v>
                </c:pt>
                <c:pt idx="8">
                  <c:v>624.89689069513429</c:v>
                </c:pt>
                <c:pt idx="9">
                  <c:v>624.89689069513429</c:v>
                </c:pt>
                <c:pt idx="10">
                  <c:v>624.89689069513429</c:v>
                </c:pt>
                <c:pt idx="11">
                  <c:v>624.89689069513429</c:v>
                </c:pt>
                <c:pt idx="12">
                  <c:v>624.89689069513429</c:v>
                </c:pt>
                <c:pt idx="13">
                  <c:v>624.89689069513429</c:v>
                </c:pt>
                <c:pt idx="14">
                  <c:v>624.89689069513429</c:v>
                </c:pt>
                <c:pt idx="15">
                  <c:v>624.89689069513429</c:v>
                </c:pt>
                <c:pt idx="16">
                  <c:v>624.89689069513429</c:v>
                </c:pt>
                <c:pt idx="17">
                  <c:v>624.89689069513429</c:v>
                </c:pt>
                <c:pt idx="18">
                  <c:v>624.89689069513429</c:v>
                </c:pt>
                <c:pt idx="19">
                  <c:v>624.89689069513429</c:v>
                </c:pt>
                <c:pt idx="20">
                  <c:v>624.89689069513429</c:v>
                </c:pt>
                <c:pt idx="21">
                  <c:v>624.89689069513429</c:v>
                </c:pt>
                <c:pt idx="22">
                  <c:v>624.89689069513429</c:v>
                </c:pt>
                <c:pt idx="23">
                  <c:v>624.89689069513429</c:v>
                </c:pt>
                <c:pt idx="24">
                  <c:v>624.89689069513429</c:v>
                </c:pt>
                <c:pt idx="25">
                  <c:v>624.89689069513429</c:v>
                </c:pt>
                <c:pt idx="26">
                  <c:v>624.89689069513429</c:v>
                </c:pt>
                <c:pt idx="27">
                  <c:v>624.89689069513429</c:v>
                </c:pt>
                <c:pt idx="28">
                  <c:v>624.89689069513429</c:v>
                </c:pt>
                <c:pt idx="29">
                  <c:v>624.89689069513429</c:v>
                </c:pt>
                <c:pt idx="30">
                  <c:v>624.89689069513429</c:v>
                </c:pt>
                <c:pt idx="31">
                  <c:v>624.89689069513429</c:v>
                </c:pt>
                <c:pt idx="32">
                  <c:v>624.89689069513429</c:v>
                </c:pt>
                <c:pt idx="33">
                  <c:v>624.89689069513429</c:v>
                </c:pt>
                <c:pt idx="34">
                  <c:v>624.89689069513429</c:v>
                </c:pt>
                <c:pt idx="35">
                  <c:v>624.89689069513429</c:v>
                </c:pt>
                <c:pt idx="36">
                  <c:v>624.89689069513429</c:v>
                </c:pt>
                <c:pt idx="37">
                  <c:v>624.89689069513429</c:v>
                </c:pt>
                <c:pt idx="38">
                  <c:v>624.89689069513429</c:v>
                </c:pt>
                <c:pt idx="39">
                  <c:v>624.89689069513429</c:v>
                </c:pt>
                <c:pt idx="40">
                  <c:v>624.89689069513429</c:v>
                </c:pt>
                <c:pt idx="41">
                  <c:v>624.89689069513429</c:v>
                </c:pt>
              </c:numCache>
            </c:numRef>
          </c:val>
        </c:ser>
        <c:marker val="1"/>
        <c:axId val="119128448"/>
        <c:axId val="119129984"/>
      </c:lineChart>
      <c:catAx>
        <c:axId val="119128448"/>
        <c:scaling>
          <c:orientation val="minMax"/>
        </c:scaling>
        <c:axPos val="b"/>
        <c:numFmt formatCode="General" sourceLinked="1"/>
        <c:tickLblPos val="nextTo"/>
        <c:txPr>
          <a:bodyPr rot="-5400000" vert="horz"/>
          <a:lstStyle/>
          <a:p>
            <a:pPr>
              <a:defRPr sz="800"/>
            </a:pPr>
            <a:endParaRPr lang="es-MX"/>
          </a:p>
        </c:txPr>
        <c:crossAx val="119129984"/>
        <c:crosses val="autoZero"/>
        <c:auto val="1"/>
        <c:lblAlgn val="ctr"/>
        <c:lblOffset val="100"/>
        <c:tickLblSkip val="1"/>
      </c:catAx>
      <c:valAx>
        <c:axId val="119129984"/>
        <c:scaling>
          <c:orientation val="minMax"/>
        </c:scaling>
        <c:axPos val="l"/>
        <c:majorGridlines/>
        <c:numFmt formatCode="0" sourceLinked="0"/>
        <c:tickLblPos val="nextTo"/>
        <c:txPr>
          <a:bodyPr/>
          <a:lstStyle/>
          <a:p>
            <a:pPr>
              <a:defRPr sz="900"/>
            </a:pPr>
            <a:endParaRPr lang="es-MX"/>
          </a:p>
        </c:txPr>
        <c:crossAx val="119128448"/>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s-MX"/>
  <c:chart>
    <c:autoTitleDeleted val="1"/>
    <c:plotArea>
      <c:layout/>
      <c:barChart>
        <c:barDir val="col"/>
        <c:grouping val="clustered"/>
        <c:ser>
          <c:idx val="0"/>
          <c:order val="0"/>
          <c:tx>
            <c:v>Precipitación media mensual</c:v>
          </c:tx>
          <c:spPr>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ln>
              <a:solidFill>
                <a:srgbClr val="C00000"/>
              </a:solidFill>
            </a:ln>
          </c:spPr>
          <c:dLbls>
            <c:numFmt formatCode="#,##0.0" sourceLinked="0"/>
            <c:txPr>
              <a:bodyPr/>
              <a:lstStyle/>
              <a:p>
                <a:pPr>
                  <a:defRPr>
                    <a:solidFill>
                      <a:srgbClr val="000066"/>
                    </a:solidFill>
                  </a:defRPr>
                </a:pPr>
                <a:endParaRPr lang="es-MX"/>
              </a:p>
            </c:txPr>
            <c:showVal val="1"/>
          </c:dLbls>
          <c:cat>
            <c:strRef>
              <c:f>'precip ponderada'!$N$55:$Y$55</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'precip ponderada'!$N$99:$Y$99</c:f>
              <c:numCache>
                <c:formatCode>0.00</c:formatCode>
                <c:ptCount val="12"/>
                <c:pt idx="0">
                  <c:v>11.11483581273672</c:v>
                </c:pt>
                <c:pt idx="1">
                  <c:v>10.903909666796817</c:v>
                </c:pt>
                <c:pt idx="2">
                  <c:v>16.813856671053891</c:v>
                </c:pt>
                <c:pt idx="3">
                  <c:v>40.890290222255402</c:v>
                </c:pt>
                <c:pt idx="4">
                  <c:v>71.61566436339983</c:v>
                </c:pt>
                <c:pt idx="5">
                  <c:v>112.44100348920303</c:v>
                </c:pt>
                <c:pt idx="6">
                  <c:v>93.016233255549125</c:v>
                </c:pt>
                <c:pt idx="7">
                  <c:v>92.810907036266258</c:v>
                </c:pt>
                <c:pt idx="8">
                  <c:v>101.37543047519009</c:v>
                </c:pt>
                <c:pt idx="9">
                  <c:v>50.128095612282912</c:v>
                </c:pt>
                <c:pt idx="10">
                  <c:v>15.023518630164817</c:v>
                </c:pt>
                <c:pt idx="11">
                  <c:v>8.763145460236041</c:v>
                </c:pt>
              </c:numCache>
            </c:numRef>
          </c:val>
        </c:ser>
        <c:axId val="119856128"/>
        <c:axId val="121115392"/>
      </c:barChart>
      <c:lineChart>
        <c:grouping val="standard"/>
        <c:ser>
          <c:idx val="1"/>
          <c:order val="1"/>
          <c:tx>
            <c:v>media</c:v>
          </c:tx>
          <c:spPr>
            <a:ln w="19050">
              <a:solidFill>
                <a:srgbClr val="C00000"/>
              </a:solidFill>
            </a:ln>
          </c:spPr>
          <c:marker>
            <c:symbol val="none"/>
          </c:marker>
          <c:dLbls>
            <c:dLbl>
              <c:idx val="0"/>
              <c:layout>
                <c:manualLayout>
                  <c:x val="0"/>
                  <c:y val="-3.4632034632034632E-2"/>
                </c:manualLayout>
              </c:layout>
              <c:numFmt formatCode="#,##0.0" sourceLinked="0"/>
              <c:spPr/>
              <c:txPr>
                <a:bodyPr/>
                <a:lstStyle/>
                <a:p>
                  <a:pPr>
                    <a:defRPr i="1"/>
                  </a:pPr>
                  <a:endParaRPr lang="es-MX"/>
                </a:p>
              </c:txPr>
              <c:showVal val="1"/>
            </c:dLbl>
            <c:delete val="1"/>
            <c:numFmt formatCode="#,##0.0" sourceLinked="0"/>
          </c:dLbls>
          <c:cat>
            <c:strRef>
              <c:f>'precip ponderada'!$N$55:$Y$55</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'precip ponderada'!$N$100:$Y$100</c:f>
              <c:numCache>
                <c:formatCode>0.00</c:formatCode>
                <c:ptCount val="12"/>
                <c:pt idx="0">
                  <c:v>52.074740891261094</c:v>
                </c:pt>
                <c:pt idx="1">
                  <c:v>52.074740891261094</c:v>
                </c:pt>
                <c:pt idx="2">
                  <c:v>52.074740891261094</c:v>
                </c:pt>
                <c:pt idx="3">
                  <c:v>52.074740891261094</c:v>
                </c:pt>
                <c:pt idx="4">
                  <c:v>52.074740891261094</c:v>
                </c:pt>
                <c:pt idx="5">
                  <c:v>52.074740891261094</c:v>
                </c:pt>
                <c:pt idx="6">
                  <c:v>52.074740891261094</c:v>
                </c:pt>
                <c:pt idx="7">
                  <c:v>52.074740891261094</c:v>
                </c:pt>
                <c:pt idx="8">
                  <c:v>52.074740891261094</c:v>
                </c:pt>
                <c:pt idx="9">
                  <c:v>52.074740891261094</c:v>
                </c:pt>
                <c:pt idx="10">
                  <c:v>52.074740891261094</c:v>
                </c:pt>
                <c:pt idx="11">
                  <c:v>52.074740891261094</c:v>
                </c:pt>
              </c:numCache>
            </c:numRef>
          </c:val>
        </c:ser>
        <c:marker val="1"/>
        <c:axId val="119856128"/>
        <c:axId val="121115392"/>
      </c:lineChart>
      <c:catAx>
        <c:axId val="119856128"/>
        <c:scaling>
          <c:orientation val="minMax"/>
        </c:scaling>
        <c:axPos val="b"/>
        <c:tickLblPos val="nextTo"/>
        <c:crossAx val="121115392"/>
        <c:crosses val="autoZero"/>
        <c:auto val="1"/>
        <c:lblAlgn val="ctr"/>
        <c:lblOffset val="100"/>
      </c:catAx>
      <c:valAx>
        <c:axId val="121115392"/>
        <c:scaling>
          <c:orientation val="minMax"/>
        </c:scaling>
        <c:axPos val="l"/>
        <c:majorGridlines/>
        <c:numFmt formatCode="0" sourceLinked="0"/>
        <c:tickLblPos val="nextTo"/>
        <c:crossAx val="119856128"/>
        <c:crosses val="autoZero"/>
        <c:crossBetween val="between"/>
      </c:valAx>
    </c:plotArea>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s-MX"/>
  <c:chart>
    <c:autoTitleDeleted val="1"/>
    <c:plotArea>
      <c:layout>
        <c:manualLayout>
          <c:layoutTarget val="inner"/>
          <c:xMode val="edge"/>
          <c:yMode val="edge"/>
          <c:x val="0.10907290080368147"/>
          <c:y val="9.1045236992434775E-2"/>
          <c:w val="0.86458481654646269"/>
          <c:h val="0.74441631070625347"/>
        </c:manualLayout>
      </c:layout>
      <c:barChart>
        <c:barDir val="col"/>
        <c:grouping val="clustered"/>
        <c:ser>
          <c:idx val="0"/>
          <c:order val="0"/>
          <c:tx>
            <c:v>Precipitación media anual</c:v>
          </c:tx>
          <c:spPr>
            <a:solidFill>
              <a:srgbClr val="0000CC"/>
            </a:solidFill>
          </c:spPr>
          <c:cat>
            <c:numRef>
              <c:f>'precip ponderada'!$M$155:$M$196</c:f>
              <c:numCache>
                <c:formatCode>General</c:formatCode>
                <c:ptCount val="42"/>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pt idx="40">
                  <c:v>2007</c:v>
                </c:pt>
                <c:pt idx="41">
                  <c:v>2008</c:v>
                </c:pt>
              </c:numCache>
            </c:numRef>
          </c:cat>
          <c:val>
            <c:numRef>
              <c:f>'precip ponderada'!$Z$155:$Z$196</c:f>
              <c:numCache>
                <c:formatCode>0.00</c:formatCode>
                <c:ptCount val="42"/>
                <c:pt idx="0">
                  <c:v>654.05440382933182</c:v>
                </c:pt>
                <c:pt idx="1">
                  <c:v>764.71725036582257</c:v>
                </c:pt>
                <c:pt idx="2">
                  <c:v>945.23056906198292</c:v>
                </c:pt>
                <c:pt idx="3">
                  <c:v>705.05987120213354</c:v>
                </c:pt>
                <c:pt idx="4">
                  <c:v>787.47816365221058</c:v>
                </c:pt>
                <c:pt idx="5">
                  <c:v>740.12321774273278</c:v>
                </c:pt>
                <c:pt idx="6">
                  <c:v>749.66462432758442</c:v>
                </c:pt>
                <c:pt idx="7">
                  <c:v>915.25574120825854</c:v>
                </c:pt>
                <c:pt idx="8">
                  <c:v>740.63512071469938</c:v>
                </c:pt>
                <c:pt idx="9">
                  <c:v>883.33995940176749</c:v>
                </c:pt>
                <c:pt idx="10">
                  <c:v>603.88184276541847</c:v>
                </c:pt>
                <c:pt idx="11">
                  <c:v>897.18019526935836</c:v>
                </c:pt>
                <c:pt idx="12">
                  <c:v>890.83921636665002</c:v>
                </c:pt>
                <c:pt idx="13">
                  <c:v>743.31039171977659</c:v>
                </c:pt>
                <c:pt idx="14">
                  <c:v>1123.1864905237958</c:v>
                </c:pt>
                <c:pt idx="15">
                  <c:v>612.35152990884546</c:v>
                </c:pt>
                <c:pt idx="16">
                  <c:v>513.08230613613352</c:v>
                </c:pt>
                <c:pt idx="17">
                  <c:v>855.27055769241235</c:v>
                </c:pt>
                <c:pt idx="18">
                  <c:v>559.69234567020851</c:v>
                </c:pt>
                <c:pt idx="19">
                  <c:v>645.46170073180099</c:v>
                </c:pt>
                <c:pt idx="20">
                  <c:v>517.81292630793246</c:v>
                </c:pt>
                <c:pt idx="21">
                  <c:v>722.7643149258538</c:v>
                </c:pt>
                <c:pt idx="22">
                  <c:v>789.7820698304904</c:v>
                </c:pt>
                <c:pt idx="23">
                  <c:v>788.24337813506804</c:v>
                </c:pt>
                <c:pt idx="24">
                  <c:v>732.88903504671805</c:v>
                </c:pt>
                <c:pt idx="25">
                  <c:v>994.70079642813573</c:v>
                </c:pt>
                <c:pt idx="26">
                  <c:v>879.09730343051251</c:v>
                </c:pt>
                <c:pt idx="27">
                  <c:v>656.06586050133308</c:v>
                </c:pt>
                <c:pt idx="28">
                  <c:v>972.55670998408289</c:v>
                </c:pt>
                <c:pt idx="29">
                  <c:v>763.06189231834151</c:v>
                </c:pt>
                <c:pt idx="30">
                  <c:v>739.00030357468631</c:v>
                </c:pt>
                <c:pt idx="31">
                  <c:v>828.63786362884423</c:v>
                </c:pt>
                <c:pt idx="32">
                  <c:v>1102.8925026104448</c:v>
                </c:pt>
                <c:pt idx="33">
                  <c:v>779.48652665184488</c:v>
                </c:pt>
                <c:pt idx="34">
                  <c:v>658.61565473740416</c:v>
                </c:pt>
                <c:pt idx="35">
                  <c:v>468.72332752527336</c:v>
                </c:pt>
                <c:pt idx="36">
                  <c:v>702.62564645104817</c:v>
                </c:pt>
                <c:pt idx="37">
                  <c:v>711.12292979069139</c:v>
                </c:pt>
                <c:pt idx="38">
                  <c:v>919.2292611268731</c:v>
                </c:pt>
                <c:pt idx="39">
                  <c:v>945.45402648806248</c:v>
                </c:pt>
                <c:pt idx="40">
                  <c:v>966.13148181988458</c:v>
                </c:pt>
                <c:pt idx="41">
                  <c:v>722.68693173482154</c:v>
                </c:pt>
              </c:numCache>
            </c:numRef>
          </c:val>
        </c:ser>
        <c:axId val="134040576"/>
        <c:axId val="134058752"/>
      </c:barChart>
      <c:lineChart>
        <c:grouping val="standard"/>
        <c:ser>
          <c:idx val="1"/>
          <c:order val="1"/>
          <c:tx>
            <c:v>promedio</c:v>
          </c:tx>
          <c:spPr>
            <a:ln w="19050">
              <a:solidFill>
                <a:srgbClr val="C00000"/>
              </a:solidFill>
            </a:ln>
          </c:spPr>
          <c:marker>
            <c:symbol val="none"/>
          </c:marker>
          <c:dLbls>
            <c:dLbl>
              <c:idx val="2"/>
              <c:layout>
                <c:manualLayout>
                  <c:x val="-1.1111111111111125E-2"/>
                  <c:y val="-3.9215686274509803E-2"/>
                </c:manualLayout>
              </c:layout>
              <c:spPr/>
              <c:txPr>
                <a:bodyPr/>
                <a:lstStyle/>
                <a:p>
                  <a:pPr>
                    <a:defRPr i="1"/>
                  </a:pPr>
                  <a:endParaRPr lang="es-MX"/>
                </a:p>
              </c:txPr>
              <c:showVal val="1"/>
            </c:dLbl>
            <c:delete val="1"/>
          </c:dLbls>
          <c:cat>
            <c:numRef>
              <c:f>'precip ponderada'!$M$155:$M$196</c:f>
              <c:numCache>
                <c:formatCode>General</c:formatCode>
                <c:ptCount val="42"/>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pt idx="40">
                  <c:v>2007</c:v>
                </c:pt>
                <c:pt idx="41">
                  <c:v>2008</c:v>
                </c:pt>
              </c:numCache>
            </c:numRef>
          </c:cat>
          <c:val>
            <c:numRef>
              <c:f>'precip ponderada'!$AB$155:$AB$196</c:f>
              <c:numCache>
                <c:formatCode>0.00</c:formatCode>
                <c:ptCount val="42"/>
                <c:pt idx="0">
                  <c:v>778.36657717474247</c:v>
                </c:pt>
                <c:pt idx="1">
                  <c:v>778.36657717474247</c:v>
                </c:pt>
                <c:pt idx="2">
                  <c:v>778.36657717474247</c:v>
                </c:pt>
                <c:pt idx="3">
                  <c:v>778.36657717474247</c:v>
                </c:pt>
                <c:pt idx="4">
                  <c:v>778.36657717474247</c:v>
                </c:pt>
                <c:pt idx="5">
                  <c:v>778.36657717474247</c:v>
                </c:pt>
                <c:pt idx="6">
                  <c:v>778.36657717474247</c:v>
                </c:pt>
                <c:pt idx="7">
                  <c:v>778.36657717474247</c:v>
                </c:pt>
                <c:pt idx="8">
                  <c:v>778.36657717474247</c:v>
                </c:pt>
                <c:pt idx="9">
                  <c:v>778.36657717474247</c:v>
                </c:pt>
                <c:pt idx="10">
                  <c:v>778.36657717474247</c:v>
                </c:pt>
                <c:pt idx="11">
                  <c:v>778.36657717474247</c:v>
                </c:pt>
                <c:pt idx="12">
                  <c:v>778.36657717474247</c:v>
                </c:pt>
                <c:pt idx="13">
                  <c:v>778.36657717474247</c:v>
                </c:pt>
                <c:pt idx="14">
                  <c:v>778.36657717474247</c:v>
                </c:pt>
                <c:pt idx="15">
                  <c:v>778.36657717474247</c:v>
                </c:pt>
                <c:pt idx="16">
                  <c:v>778.36657717474247</c:v>
                </c:pt>
                <c:pt idx="17">
                  <c:v>778.36657717474247</c:v>
                </c:pt>
                <c:pt idx="18">
                  <c:v>778.36657717474247</c:v>
                </c:pt>
                <c:pt idx="19">
                  <c:v>778.36657717474247</c:v>
                </c:pt>
                <c:pt idx="20">
                  <c:v>778.36657717474247</c:v>
                </c:pt>
                <c:pt idx="21">
                  <c:v>778.36657717474247</c:v>
                </c:pt>
                <c:pt idx="22">
                  <c:v>778.36657717474247</c:v>
                </c:pt>
                <c:pt idx="23">
                  <c:v>778.36657717474247</c:v>
                </c:pt>
                <c:pt idx="24">
                  <c:v>778.36657717474247</c:v>
                </c:pt>
                <c:pt idx="25">
                  <c:v>778.36657717474247</c:v>
                </c:pt>
                <c:pt idx="26">
                  <c:v>778.36657717474247</c:v>
                </c:pt>
                <c:pt idx="27">
                  <c:v>778.36657717474247</c:v>
                </c:pt>
                <c:pt idx="28">
                  <c:v>778.36657717474247</c:v>
                </c:pt>
                <c:pt idx="29">
                  <c:v>778.36657717474247</c:v>
                </c:pt>
                <c:pt idx="30">
                  <c:v>778.36657717474247</c:v>
                </c:pt>
                <c:pt idx="31">
                  <c:v>778.36657717474247</c:v>
                </c:pt>
                <c:pt idx="32">
                  <c:v>778.36657717474247</c:v>
                </c:pt>
                <c:pt idx="33">
                  <c:v>778.36657717474247</c:v>
                </c:pt>
                <c:pt idx="34">
                  <c:v>778.36657717474247</c:v>
                </c:pt>
                <c:pt idx="35">
                  <c:v>778.36657717474247</c:v>
                </c:pt>
                <c:pt idx="36">
                  <c:v>778.36657717474247</c:v>
                </c:pt>
                <c:pt idx="37">
                  <c:v>778.36657717474247</c:v>
                </c:pt>
                <c:pt idx="38">
                  <c:v>778.36657717474247</c:v>
                </c:pt>
                <c:pt idx="39">
                  <c:v>778.36657717474247</c:v>
                </c:pt>
                <c:pt idx="40">
                  <c:v>778.36657717474247</c:v>
                </c:pt>
                <c:pt idx="41">
                  <c:v>778.36657717474247</c:v>
                </c:pt>
              </c:numCache>
            </c:numRef>
          </c:val>
        </c:ser>
        <c:marker val="1"/>
        <c:axId val="134040576"/>
        <c:axId val="134058752"/>
      </c:lineChart>
      <c:catAx>
        <c:axId val="134040576"/>
        <c:scaling>
          <c:orientation val="minMax"/>
        </c:scaling>
        <c:axPos val="b"/>
        <c:numFmt formatCode="General" sourceLinked="1"/>
        <c:tickLblPos val="nextTo"/>
        <c:txPr>
          <a:bodyPr rot="-5400000" vert="horz"/>
          <a:lstStyle/>
          <a:p>
            <a:pPr>
              <a:defRPr sz="800"/>
            </a:pPr>
            <a:endParaRPr lang="es-MX"/>
          </a:p>
        </c:txPr>
        <c:crossAx val="134058752"/>
        <c:crosses val="autoZero"/>
        <c:auto val="1"/>
        <c:lblAlgn val="ctr"/>
        <c:lblOffset val="100"/>
        <c:tickLblSkip val="1"/>
      </c:catAx>
      <c:valAx>
        <c:axId val="134058752"/>
        <c:scaling>
          <c:orientation val="minMax"/>
        </c:scaling>
        <c:axPos val="l"/>
        <c:majorGridlines/>
        <c:numFmt formatCode="0" sourceLinked="0"/>
        <c:tickLblPos val="nextTo"/>
        <c:txPr>
          <a:bodyPr/>
          <a:lstStyle/>
          <a:p>
            <a:pPr>
              <a:defRPr sz="900"/>
            </a:pPr>
            <a:endParaRPr lang="es-MX"/>
          </a:p>
        </c:txPr>
        <c:crossAx val="134040576"/>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s-MX"/>
  <c:chart>
    <c:autoTitleDeleted val="1"/>
    <c:plotArea>
      <c:layout/>
      <c:barChart>
        <c:barDir val="col"/>
        <c:grouping val="clustered"/>
        <c:ser>
          <c:idx val="0"/>
          <c:order val="0"/>
          <c:tx>
            <c:v>Precipitación media mensual</c:v>
          </c:tx>
          <c:spPr>
            <a:gradFill>
              <a:gsLst>
                <a:gs pos="0">
                  <a:srgbClr val="FFF200"/>
                </a:gs>
                <a:gs pos="45000">
                  <a:srgbClr val="FF7A00"/>
                </a:gs>
                <a:gs pos="70000">
                  <a:srgbClr val="FF0300"/>
                </a:gs>
                <a:gs pos="100000">
                  <a:srgbClr val="4D0808"/>
                </a:gs>
              </a:gsLst>
              <a:lin ang="5400000" scaled="0"/>
            </a:gradFill>
            <a:ln>
              <a:solidFill>
                <a:srgbClr val="C00000"/>
              </a:solidFill>
            </a:ln>
          </c:spPr>
          <c:dLbls>
            <c:numFmt formatCode="#,##0.0" sourceLinked="0"/>
            <c:txPr>
              <a:bodyPr/>
              <a:lstStyle/>
              <a:p>
                <a:pPr>
                  <a:defRPr>
                    <a:solidFill>
                      <a:srgbClr val="000066"/>
                    </a:solidFill>
                  </a:defRPr>
                </a:pPr>
                <a:endParaRPr lang="es-MX"/>
              </a:p>
            </c:txPr>
            <c:showVal val="1"/>
          </c:dLbls>
          <c:cat>
            <c:strRef>
              <c:f>'precip ponderada'!$N$154:$Y$154</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'precip ponderada'!$N$198:$Y$198</c:f>
              <c:numCache>
                <c:formatCode>0.00</c:formatCode>
                <c:ptCount val="12"/>
                <c:pt idx="0">
                  <c:v>20.827943616985415</c:v>
                </c:pt>
                <c:pt idx="1">
                  <c:v>21.501204787242244</c:v>
                </c:pt>
                <c:pt idx="2">
                  <c:v>19.739454924500691</c:v>
                </c:pt>
                <c:pt idx="3">
                  <c:v>33.717062035689786</c:v>
                </c:pt>
                <c:pt idx="4">
                  <c:v>49.356271524813693</c:v>
                </c:pt>
                <c:pt idx="5">
                  <c:v>117.20587397693251</c:v>
                </c:pt>
                <c:pt idx="6">
                  <c:v>92.570428795147535</c:v>
                </c:pt>
                <c:pt idx="7">
                  <c:v>99.54486112821283</c:v>
                </c:pt>
                <c:pt idx="8">
                  <c:v>157.32349231538788</c:v>
                </c:pt>
                <c:pt idx="9">
                  <c:v>99.257054756282585</c:v>
                </c:pt>
                <c:pt idx="10">
                  <c:v>43.146359899395833</c:v>
                </c:pt>
                <c:pt idx="11">
                  <c:v>24.176569414154631</c:v>
                </c:pt>
              </c:numCache>
            </c:numRef>
          </c:val>
        </c:ser>
        <c:axId val="134084480"/>
        <c:axId val="134086016"/>
      </c:barChart>
      <c:lineChart>
        <c:grouping val="standard"/>
        <c:ser>
          <c:idx val="1"/>
          <c:order val="1"/>
          <c:tx>
            <c:v>media</c:v>
          </c:tx>
          <c:spPr>
            <a:ln w="19050">
              <a:solidFill>
                <a:srgbClr val="C00000"/>
              </a:solidFill>
            </a:ln>
          </c:spPr>
          <c:marker>
            <c:symbol val="none"/>
          </c:marker>
          <c:dLbls>
            <c:dLbl>
              <c:idx val="0"/>
              <c:layout>
                <c:manualLayout>
                  <c:x val="0"/>
                  <c:y val="-2.3148148148148147E-2"/>
                </c:manualLayout>
              </c:layout>
              <c:numFmt formatCode="#,##0.0" sourceLinked="0"/>
              <c:spPr/>
              <c:txPr>
                <a:bodyPr/>
                <a:lstStyle/>
                <a:p>
                  <a:pPr>
                    <a:defRPr i="1"/>
                  </a:pPr>
                  <a:endParaRPr lang="es-MX"/>
                </a:p>
              </c:txPr>
              <c:showVal val="1"/>
            </c:dLbl>
            <c:delete val="1"/>
            <c:numFmt formatCode="#,##0.0" sourceLinked="0"/>
          </c:dLbls>
          <c:cat>
            <c:strRef>
              <c:f>'precip ponderada'!$N$154:$Y$154</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'precip ponderada'!$N$199:$Y$199</c:f>
              <c:numCache>
                <c:formatCode>0.00</c:formatCode>
                <c:ptCount val="12"/>
                <c:pt idx="0">
                  <c:v>64.863881431228648</c:v>
                </c:pt>
                <c:pt idx="1">
                  <c:v>64.863881431228648</c:v>
                </c:pt>
                <c:pt idx="2">
                  <c:v>64.863881431228648</c:v>
                </c:pt>
                <c:pt idx="3">
                  <c:v>64.863881431228648</c:v>
                </c:pt>
                <c:pt idx="4">
                  <c:v>64.863881431228648</c:v>
                </c:pt>
                <c:pt idx="5">
                  <c:v>64.863881431228648</c:v>
                </c:pt>
                <c:pt idx="6">
                  <c:v>64.863881431228648</c:v>
                </c:pt>
                <c:pt idx="7">
                  <c:v>64.863881431228648</c:v>
                </c:pt>
                <c:pt idx="8">
                  <c:v>64.863881431228648</c:v>
                </c:pt>
                <c:pt idx="9">
                  <c:v>64.863881431228648</c:v>
                </c:pt>
                <c:pt idx="10">
                  <c:v>64.863881431228648</c:v>
                </c:pt>
                <c:pt idx="11">
                  <c:v>64.863881431228648</c:v>
                </c:pt>
              </c:numCache>
            </c:numRef>
          </c:val>
        </c:ser>
        <c:marker val="1"/>
        <c:axId val="134084480"/>
        <c:axId val="134086016"/>
      </c:lineChart>
      <c:catAx>
        <c:axId val="134084480"/>
        <c:scaling>
          <c:orientation val="minMax"/>
        </c:scaling>
        <c:axPos val="b"/>
        <c:tickLblPos val="nextTo"/>
        <c:crossAx val="134086016"/>
        <c:crosses val="autoZero"/>
        <c:auto val="1"/>
        <c:lblAlgn val="ctr"/>
        <c:lblOffset val="100"/>
      </c:catAx>
      <c:valAx>
        <c:axId val="134086016"/>
        <c:scaling>
          <c:orientation val="minMax"/>
        </c:scaling>
        <c:axPos val="l"/>
        <c:majorGridlines/>
        <c:numFmt formatCode="0" sourceLinked="0"/>
        <c:tickLblPos val="nextTo"/>
        <c:crossAx val="134084480"/>
        <c:crosses val="autoZero"/>
        <c:crossBetween val="between"/>
      </c:valAx>
    </c:plotArea>
    <c:plotVisOnly val="1"/>
    <c:dispBlanksAs val="gap"/>
  </c:chart>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E4C158-5F67-4CDF-99B0-EF0522DB0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194</Pages>
  <Words>62963</Words>
  <Characters>346297</Characters>
  <Application>Microsoft Office Word</Application>
  <DocSecurity>0</DocSecurity>
  <Lines>2885</Lines>
  <Paragraphs>816</Paragraphs>
  <ScaleCrop>false</ScaleCrop>
  <HeadingPairs>
    <vt:vector size="2" baseType="variant">
      <vt:variant>
        <vt:lpstr>Título</vt:lpstr>
      </vt:variant>
      <vt:variant>
        <vt:i4>1</vt:i4>
      </vt:variant>
    </vt:vector>
  </HeadingPairs>
  <TitlesOfParts>
    <vt:vector size="1" baseType="lpstr">
      <vt:lpstr>México,  D</vt:lpstr>
    </vt:vector>
  </TitlesOfParts>
  <Company>www.intercambiosvirtuales.org</Company>
  <LinksUpToDate>false</LinksUpToDate>
  <CharactersWithSpaces>408444</CharactersWithSpaces>
  <SharedDoc>false</SharedDoc>
  <HLinks>
    <vt:vector size="342" baseType="variant">
      <vt:variant>
        <vt:i4>1179699</vt:i4>
      </vt:variant>
      <vt:variant>
        <vt:i4>338</vt:i4>
      </vt:variant>
      <vt:variant>
        <vt:i4>0</vt:i4>
      </vt:variant>
      <vt:variant>
        <vt:i4>5</vt:i4>
      </vt:variant>
      <vt:variant>
        <vt:lpwstr/>
      </vt:variant>
      <vt:variant>
        <vt:lpwstr>_Toc278190033</vt:lpwstr>
      </vt:variant>
      <vt:variant>
        <vt:i4>1179699</vt:i4>
      </vt:variant>
      <vt:variant>
        <vt:i4>332</vt:i4>
      </vt:variant>
      <vt:variant>
        <vt:i4>0</vt:i4>
      </vt:variant>
      <vt:variant>
        <vt:i4>5</vt:i4>
      </vt:variant>
      <vt:variant>
        <vt:lpwstr/>
      </vt:variant>
      <vt:variant>
        <vt:lpwstr>_Toc278190032</vt:lpwstr>
      </vt:variant>
      <vt:variant>
        <vt:i4>1179699</vt:i4>
      </vt:variant>
      <vt:variant>
        <vt:i4>326</vt:i4>
      </vt:variant>
      <vt:variant>
        <vt:i4>0</vt:i4>
      </vt:variant>
      <vt:variant>
        <vt:i4>5</vt:i4>
      </vt:variant>
      <vt:variant>
        <vt:lpwstr/>
      </vt:variant>
      <vt:variant>
        <vt:lpwstr>_Toc278190031</vt:lpwstr>
      </vt:variant>
      <vt:variant>
        <vt:i4>1179699</vt:i4>
      </vt:variant>
      <vt:variant>
        <vt:i4>320</vt:i4>
      </vt:variant>
      <vt:variant>
        <vt:i4>0</vt:i4>
      </vt:variant>
      <vt:variant>
        <vt:i4>5</vt:i4>
      </vt:variant>
      <vt:variant>
        <vt:lpwstr/>
      </vt:variant>
      <vt:variant>
        <vt:lpwstr>_Toc278190030</vt:lpwstr>
      </vt:variant>
      <vt:variant>
        <vt:i4>1245235</vt:i4>
      </vt:variant>
      <vt:variant>
        <vt:i4>314</vt:i4>
      </vt:variant>
      <vt:variant>
        <vt:i4>0</vt:i4>
      </vt:variant>
      <vt:variant>
        <vt:i4>5</vt:i4>
      </vt:variant>
      <vt:variant>
        <vt:lpwstr/>
      </vt:variant>
      <vt:variant>
        <vt:lpwstr>_Toc278190029</vt:lpwstr>
      </vt:variant>
      <vt:variant>
        <vt:i4>1245235</vt:i4>
      </vt:variant>
      <vt:variant>
        <vt:i4>308</vt:i4>
      </vt:variant>
      <vt:variant>
        <vt:i4>0</vt:i4>
      </vt:variant>
      <vt:variant>
        <vt:i4>5</vt:i4>
      </vt:variant>
      <vt:variant>
        <vt:lpwstr/>
      </vt:variant>
      <vt:variant>
        <vt:lpwstr>_Toc278190028</vt:lpwstr>
      </vt:variant>
      <vt:variant>
        <vt:i4>1245235</vt:i4>
      </vt:variant>
      <vt:variant>
        <vt:i4>302</vt:i4>
      </vt:variant>
      <vt:variant>
        <vt:i4>0</vt:i4>
      </vt:variant>
      <vt:variant>
        <vt:i4>5</vt:i4>
      </vt:variant>
      <vt:variant>
        <vt:lpwstr/>
      </vt:variant>
      <vt:variant>
        <vt:lpwstr>_Toc278190027</vt:lpwstr>
      </vt:variant>
      <vt:variant>
        <vt:i4>1245235</vt:i4>
      </vt:variant>
      <vt:variant>
        <vt:i4>296</vt:i4>
      </vt:variant>
      <vt:variant>
        <vt:i4>0</vt:i4>
      </vt:variant>
      <vt:variant>
        <vt:i4>5</vt:i4>
      </vt:variant>
      <vt:variant>
        <vt:lpwstr/>
      </vt:variant>
      <vt:variant>
        <vt:lpwstr>_Toc278190026</vt:lpwstr>
      </vt:variant>
      <vt:variant>
        <vt:i4>1245235</vt:i4>
      </vt:variant>
      <vt:variant>
        <vt:i4>290</vt:i4>
      </vt:variant>
      <vt:variant>
        <vt:i4>0</vt:i4>
      </vt:variant>
      <vt:variant>
        <vt:i4>5</vt:i4>
      </vt:variant>
      <vt:variant>
        <vt:lpwstr/>
      </vt:variant>
      <vt:variant>
        <vt:lpwstr>_Toc278190025</vt:lpwstr>
      </vt:variant>
      <vt:variant>
        <vt:i4>1245235</vt:i4>
      </vt:variant>
      <vt:variant>
        <vt:i4>284</vt:i4>
      </vt:variant>
      <vt:variant>
        <vt:i4>0</vt:i4>
      </vt:variant>
      <vt:variant>
        <vt:i4>5</vt:i4>
      </vt:variant>
      <vt:variant>
        <vt:lpwstr/>
      </vt:variant>
      <vt:variant>
        <vt:lpwstr>_Toc278190024</vt:lpwstr>
      </vt:variant>
      <vt:variant>
        <vt:i4>1245235</vt:i4>
      </vt:variant>
      <vt:variant>
        <vt:i4>278</vt:i4>
      </vt:variant>
      <vt:variant>
        <vt:i4>0</vt:i4>
      </vt:variant>
      <vt:variant>
        <vt:i4>5</vt:i4>
      </vt:variant>
      <vt:variant>
        <vt:lpwstr/>
      </vt:variant>
      <vt:variant>
        <vt:lpwstr>_Toc278190023</vt:lpwstr>
      </vt:variant>
      <vt:variant>
        <vt:i4>1245235</vt:i4>
      </vt:variant>
      <vt:variant>
        <vt:i4>272</vt:i4>
      </vt:variant>
      <vt:variant>
        <vt:i4>0</vt:i4>
      </vt:variant>
      <vt:variant>
        <vt:i4>5</vt:i4>
      </vt:variant>
      <vt:variant>
        <vt:lpwstr/>
      </vt:variant>
      <vt:variant>
        <vt:lpwstr>_Toc278190022</vt:lpwstr>
      </vt:variant>
      <vt:variant>
        <vt:i4>1245235</vt:i4>
      </vt:variant>
      <vt:variant>
        <vt:i4>266</vt:i4>
      </vt:variant>
      <vt:variant>
        <vt:i4>0</vt:i4>
      </vt:variant>
      <vt:variant>
        <vt:i4>5</vt:i4>
      </vt:variant>
      <vt:variant>
        <vt:lpwstr/>
      </vt:variant>
      <vt:variant>
        <vt:lpwstr>_Toc278190021</vt:lpwstr>
      </vt:variant>
      <vt:variant>
        <vt:i4>1245235</vt:i4>
      </vt:variant>
      <vt:variant>
        <vt:i4>260</vt:i4>
      </vt:variant>
      <vt:variant>
        <vt:i4>0</vt:i4>
      </vt:variant>
      <vt:variant>
        <vt:i4>5</vt:i4>
      </vt:variant>
      <vt:variant>
        <vt:lpwstr/>
      </vt:variant>
      <vt:variant>
        <vt:lpwstr>_Toc278190020</vt:lpwstr>
      </vt:variant>
      <vt:variant>
        <vt:i4>1048627</vt:i4>
      </vt:variant>
      <vt:variant>
        <vt:i4>254</vt:i4>
      </vt:variant>
      <vt:variant>
        <vt:i4>0</vt:i4>
      </vt:variant>
      <vt:variant>
        <vt:i4>5</vt:i4>
      </vt:variant>
      <vt:variant>
        <vt:lpwstr/>
      </vt:variant>
      <vt:variant>
        <vt:lpwstr>_Toc278190019</vt:lpwstr>
      </vt:variant>
      <vt:variant>
        <vt:i4>1048627</vt:i4>
      </vt:variant>
      <vt:variant>
        <vt:i4>248</vt:i4>
      </vt:variant>
      <vt:variant>
        <vt:i4>0</vt:i4>
      </vt:variant>
      <vt:variant>
        <vt:i4>5</vt:i4>
      </vt:variant>
      <vt:variant>
        <vt:lpwstr/>
      </vt:variant>
      <vt:variant>
        <vt:lpwstr>_Toc278190018</vt:lpwstr>
      </vt:variant>
      <vt:variant>
        <vt:i4>1048627</vt:i4>
      </vt:variant>
      <vt:variant>
        <vt:i4>242</vt:i4>
      </vt:variant>
      <vt:variant>
        <vt:i4>0</vt:i4>
      </vt:variant>
      <vt:variant>
        <vt:i4>5</vt:i4>
      </vt:variant>
      <vt:variant>
        <vt:lpwstr/>
      </vt:variant>
      <vt:variant>
        <vt:lpwstr>_Toc278190017</vt:lpwstr>
      </vt:variant>
      <vt:variant>
        <vt:i4>1048627</vt:i4>
      </vt:variant>
      <vt:variant>
        <vt:i4>236</vt:i4>
      </vt:variant>
      <vt:variant>
        <vt:i4>0</vt:i4>
      </vt:variant>
      <vt:variant>
        <vt:i4>5</vt:i4>
      </vt:variant>
      <vt:variant>
        <vt:lpwstr/>
      </vt:variant>
      <vt:variant>
        <vt:lpwstr>_Toc278190016</vt:lpwstr>
      </vt:variant>
      <vt:variant>
        <vt:i4>1048627</vt:i4>
      </vt:variant>
      <vt:variant>
        <vt:i4>230</vt:i4>
      </vt:variant>
      <vt:variant>
        <vt:i4>0</vt:i4>
      </vt:variant>
      <vt:variant>
        <vt:i4>5</vt:i4>
      </vt:variant>
      <vt:variant>
        <vt:lpwstr/>
      </vt:variant>
      <vt:variant>
        <vt:lpwstr>_Toc278190015</vt:lpwstr>
      </vt:variant>
      <vt:variant>
        <vt:i4>1048627</vt:i4>
      </vt:variant>
      <vt:variant>
        <vt:i4>224</vt:i4>
      </vt:variant>
      <vt:variant>
        <vt:i4>0</vt:i4>
      </vt:variant>
      <vt:variant>
        <vt:i4>5</vt:i4>
      </vt:variant>
      <vt:variant>
        <vt:lpwstr/>
      </vt:variant>
      <vt:variant>
        <vt:lpwstr>_Toc278190014</vt:lpwstr>
      </vt:variant>
      <vt:variant>
        <vt:i4>1048627</vt:i4>
      </vt:variant>
      <vt:variant>
        <vt:i4>218</vt:i4>
      </vt:variant>
      <vt:variant>
        <vt:i4>0</vt:i4>
      </vt:variant>
      <vt:variant>
        <vt:i4>5</vt:i4>
      </vt:variant>
      <vt:variant>
        <vt:lpwstr/>
      </vt:variant>
      <vt:variant>
        <vt:lpwstr>_Toc278190013</vt:lpwstr>
      </vt:variant>
      <vt:variant>
        <vt:i4>1048627</vt:i4>
      </vt:variant>
      <vt:variant>
        <vt:i4>212</vt:i4>
      </vt:variant>
      <vt:variant>
        <vt:i4>0</vt:i4>
      </vt:variant>
      <vt:variant>
        <vt:i4>5</vt:i4>
      </vt:variant>
      <vt:variant>
        <vt:lpwstr/>
      </vt:variant>
      <vt:variant>
        <vt:lpwstr>_Toc278190012</vt:lpwstr>
      </vt:variant>
      <vt:variant>
        <vt:i4>1048627</vt:i4>
      </vt:variant>
      <vt:variant>
        <vt:i4>206</vt:i4>
      </vt:variant>
      <vt:variant>
        <vt:i4>0</vt:i4>
      </vt:variant>
      <vt:variant>
        <vt:i4>5</vt:i4>
      </vt:variant>
      <vt:variant>
        <vt:lpwstr/>
      </vt:variant>
      <vt:variant>
        <vt:lpwstr>_Toc278190011</vt:lpwstr>
      </vt:variant>
      <vt:variant>
        <vt:i4>1048627</vt:i4>
      </vt:variant>
      <vt:variant>
        <vt:i4>200</vt:i4>
      </vt:variant>
      <vt:variant>
        <vt:i4>0</vt:i4>
      </vt:variant>
      <vt:variant>
        <vt:i4>5</vt:i4>
      </vt:variant>
      <vt:variant>
        <vt:lpwstr/>
      </vt:variant>
      <vt:variant>
        <vt:lpwstr>_Toc278190010</vt:lpwstr>
      </vt:variant>
      <vt:variant>
        <vt:i4>1114163</vt:i4>
      </vt:variant>
      <vt:variant>
        <vt:i4>194</vt:i4>
      </vt:variant>
      <vt:variant>
        <vt:i4>0</vt:i4>
      </vt:variant>
      <vt:variant>
        <vt:i4>5</vt:i4>
      </vt:variant>
      <vt:variant>
        <vt:lpwstr/>
      </vt:variant>
      <vt:variant>
        <vt:lpwstr>_Toc278190009</vt:lpwstr>
      </vt:variant>
      <vt:variant>
        <vt:i4>1114163</vt:i4>
      </vt:variant>
      <vt:variant>
        <vt:i4>188</vt:i4>
      </vt:variant>
      <vt:variant>
        <vt:i4>0</vt:i4>
      </vt:variant>
      <vt:variant>
        <vt:i4>5</vt:i4>
      </vt:variant>
      <vt:variant>
        <vt:lpwstr/>
      </vt:variant>
      <vt:variant>
        <vt:lpwstr>_Toc278190008</vt:lpwstr>
      </vt:variant>
      <vt:variant>
        <vt:i4>1114163</vt:i4>
      </vt:variant>
      <vt:variant>
        <vt:i4>182</vt:i4>
      </vt:variant>
      <vt:variant>
        <vt:i4>0</vt:i4>
      </vt:variant>
      <vt:variant>
        <vt:i4>5</vt:i4>
      </vt:variant>
      <vt:variant>
        <vt:lpwstr/>
      </vt:variant>
      <vt:variant>
        <vt:lpwstr>_Toc278190007</vt:lpwstr>
      </vt:variant>
      <vt:variant>
        <vt:i4>1114163</vt:i4>
      </vt:variant>
      <vt:variant>
        <vt:i4>176</vt:i4>
      </vt:variant>
      <vt:variant>
        <vt:i4>0</vt:i4>
      </vt:variant>
      <vt:variant>
        <vt:i4>5</vt:i4>
      </vt:variant>
      <vt:variant>
        <vt:lpwstr/>
      </vt:variant>
      <vt:variant>
        <vt:lpwstr>_Toc278190006</vt:lpwstr>
      </vt:variant>
      <vt:variant>
        <vt:i4>1114163</vt:i4>
      </vt:variant>
      <vt:variant>
        <vt:i4>170</vt:i4>
      </vt:variant>
      <vt:variant>
        <vt:i4>0</vt:i4>
      </vt:variant>
      <vt:variant>
        <vt:i4>5</vt:i4>
      </vt:variant>
      <vt:variant>
        <vt:lpwstr/>
      </vt:variant>
      <vt:variant>
        <vt:lpwstr>_Toc278190005</vt:lpwstr>
      </vt:variant>
      <vt:variant>
        <vt:i4>1114163</vt:i4>
      </vt:variant>
      <vt:variant>
        <vt:i4>164</vt:i4>
      </vt:variant>
      <vt:variant>
        <vt:i4>0</vt:i4>
      </vt:variant>
      <vt:variant>
        <vt:i4>5</vt:i4>
      </vt:variant>
      <vt:variant>
        <vt:lpwstr/>
      </vt:variant>
      <vt:variant>
        <vt:lpwstr>_Toc278190004</vt:lpwstr>
      </vt:variant>
      <vt:variant>
        <vt:i4>1114163</vt:i4>
      </vt:variant>
      <vt:variant>
        <vt:i4>158</vt:i4>
      </vt:variant>
      <vt:variant>
        <vt:i4>0</vt:i4>
      </vt:variant>
      <vt:variant>
        <vt:i4>5</vt:i4>
      </vt:variant>
      <vt:variant>
        <vt:lpwstr/>
      </vt:variant>
      <vt:variant>
        <vt:lpwstr>_Toc278190003</vt:lpwstr>
      </vt:variant>
      <vt:variant>
        <vt:i4>1114163</vt:i4>
      </vt:variant>
      <vt:variant>
        <vt:i4>152</vt:i4>
      </vt:variant>
      <vt:variant>
        <vt:i4>0</vt:i4>
      </vt:variant>
      <vt:variant>
        <vt:i4>5</vt:i4>
      </vt:variant>
      <vt:variant>
        <vt:lpwstr/>
      </vt:variant>
      <vt:variant>
        <vt:lpwstr>_Toc278190002</vt:lpwstr>
      </vt:variant>
      <vt:variant>
        <vt:i4>1114163</vt:i4>
      </vt:variant>
      <vt:variant>
        <vt:i4>146</vt:i4>
      </vt:variant>
      <vt:variant>
        <vt:i4>0</vt:i4>
      </vt:variant>
      <vt:variant>
        <vt:i4>5</vt:i4>
      </vt:variant>
      <vt:variant>
        <vt:lpwstr/>
      </vt:variant>
      <vt:variant>
        <vt:lpwstr>_Toc278190001</vt:lpwstr>
      </vt:variant>
      <vt:variant>
        <vt:i4>1114163</vt:i4>
      </vt:variant>
      <vt:variant>
        <vt:i4>140</vt:i4>
      </vt:variant>
      <vt:variant>
        <vt:i4>0</vt:i4>
      </vt:variant>
      <vt:variant>
        <vt:i4>5</vt:i4>
      </vt:variant>
      <vt:variant>
        <vt:lpwstr/>
      </vt:variant>
      <vt:variant>
        <vt:lpwstr>_Toc278190000</vt:lpwstr>
      </vt:variant>
      <vt:variant>
        <vt:i4>1114171</vt:i4>
      </vt:variant>
      <vt:variant>
        <vt:i4>134</vt:i4>
      </vt:variant>
      <vt:variant>
        <vt:i4>0</vt:i4>
      </vt:variant>
      <vt:variant>
        <vt:i4>5</vt:i4>
      </vt:variant>
      <vt:variant>
        <vt:lpwstr/>
      </vt:variant>
      <vt:variant>
        <vt:lpwstr>_Toc278189999</vt:lpwstr>
      </vt:variant>
      <vt:variant>
        <vt:i4>1114171</vt:i4>
      </vt:variant>
      <vt:variant>
        <vt:i4>128</vt:i4>
      </vt:variant>
      <vt:variant>
        <vt:i4>0</vt:i4>
      </vt:variant>
      <vt:variant>
        <vt:i4>5</vt:i4>
      </vt:variant>
      <vt:variant>
        <vt:lpwstr/>
      </vt:variant>
      <vt:variant>
        <vt:lpwstr>_Toc278189998</vt:lpwstr>
      </vt:variant>
      <vt:variant>
        <vt:i4>1114171</vt:i4>
      </vt:variant>
      <vt:variant>
        <vt:i4>122</vt:i4>
      </vt:variant>
      <vt:variant>
        <vt:i4>0</vt:i4>
      </vt:variant>
      <vt:variant>
        <vt:i4>5</vt:i4>
      </vt:variant>
      <vt:variant>
        <vt:lpwstr/>
      </vt:variant>
      <vt:variant>
        <vt:lpwstr>_Toc278189997</vt:lpwstr>
      </vt:variant>
      <vt:variant>
        <vt:i4>1114171</vt:i4>
      </vt:variant>
      <vt:variant>
        <vt:i4>116</vt:i4>
      </vt:variant>
      <vt:variant>
        <vt:i4>0</vt:i4>
      </vt:variant>
      <vt:variant>
        <vt:i4>5</vt:i4>
      </vt:variant>
      <vt:variant>
        <vt:lpwstr/>
      </vt:variant>
      <vt:variant>
        <vt:lpwstr>_Toc278189996</vt:lpwstr>
      </vt:variant>
      <vt:variant>
        <vt:i4>1114171</vt:i4>
      </vt:variant>
      <vt:variant>
        <vt:i4>110</vt:i4>
      </vt:variant>
      <vt:variant>
        <vt:i4>0</vt:i4>
      </vt:variant>
      <vt:variant>
        <vt:i4>5</vt:i4>
      </vt:variant>
      <vt:variant>
        <vt:lpwstr/>
      </vt:variant>
      <vt:variant>
        <vt:lpwstr>_Toc278189995</vt:lpwstr>
      </vt:variant>
      <vt:variant>
        <vt:i4>1114171</vt:i4>
      </vt:variant>
      <vt:variant>
        <vt:i4>104</vt:i4>
      </vt:variant>
      <vt:variant>
        <vt:i4>0</vt:i4>
      </vt:variant>
      <vt:variant>
        <vt:i4>5</vt:i4>
      </vt:variant>
      <vt:variant>
        <vt:lpwstr/>
      </vt:variant>
      <vt:variant>
        <vt:lpwstr>_Toc278189994</vt:lpwstr>
      </vt:variant>
      <vt:variant>
        <vt:i4>1114171</vt:i4>
      </vt:variant>
      <vt:variant>
        <vt:i4>98</vt:i4>
      </vt:variant>
      <vt:variant>
        <vt:i4>0</vt:i4>
      </vt:variant>
      <vt:variant>
        <vt:i4>5</vt:i4>
      </vt:variant>
      <vt:variant>
        <vt:lpwstr/>
      </vt:variant>
      <vt:variant>
        <vt:lpwstr>_Toc278189993</vt:lpwstr>
      </vt:variant>
      <vt:variant>
        <vt:i4>1114171</vt:i4>
      </vt:variant>
      <vt:variant>
        <vt:i4>92</vt:i4>
      </vt:variant>
      <vt:variant>
        <vt:i4>0</vt:i4>
      </vt:variant>
      <vt:variant>
        <vt:i4>5</vt:i4>
      </vt:variant>
      <vt:variant>
        <vt:lpwstr/>
      </vt:variant>
      <vt:variant>
        <vt:lpwstr>_Toc278189992</vt:lpwstr>
      </vt:variant>
      <vt:variant>
        <vt:i4>1114171</vt:i4>
      </vt:variant>
      <vt:variant>
        <vt:i4>86</vt:i4>
      </vt:variant>
      <vt:variant>
        <vt:i4>0</vt:i4>
      </vt:variant>
      <vt:variant>
        <vt:i4>5</vt:i4>
      </vt:variant>
      <vt:variant>
        <vt:lpwstr/>
      </vt:variant>
      <vt:variant>
        <vt:lpwstr>_Toc278189991</vt:lpwstr>
      </vt:variant>
      <vt:variant>
        <vt:i4>1114171</vt:i4>
      </vt:variant>
      <vt:variant>
        <vt:i4>80</vt:i4>
      </vt:variant>
      <vt:variant>
        <vt:i4>0</vt:i4>
      </vt:variant>
      <vt:variant>
        <vt:i4>5</vt:i4>
      </vt:variant>
      <vt:variant>
        <vt:lpwstr/>
      </vt:variant>
      <vt:variant>
        <vt:lpwstr>_Toc278189990</vt:lpwstr>
      </vt:variant>
      <vt:variant>
        <vt:i4>1048635</vt:i4>
      </vt:variant>
      <vt:variant>
        <vt:i4>74</vt:i4>
      </vt:variant>
      <vt:variant>
        <vt:i4>0</vt:i4>
      </vt:variant>
      <vt:variant>
        <vt:i4>5</vt:i4>
      </vt:variant>
      <vt:variant>
        <vt:lpwstr/>
      </vt:variant>
      <vt:variant>
        <vt:lpwstr>_Toc278189989</vt:lpwstr>
      </vt:variant>
      <vt:variant>
        <vt:i4>1048635</vt:i4>
      </vt:variant>
      <vt:variant>
        <vt:i4>68</vt:i4>
      </vt:variant>
      <vt:variant>
        <vt:i4>0</vt:i4>
      </vt:variant>
      <vt:variant>
        <vt:i4>5</vt:i4>
      </vt:variant>
      <vt:variant>
        <vt:lpwstr/>
      </vt:variant>
      <vt:variant>
        <vt:lpwstr>_Toc278189988</vt:lpwstr>
      </vt:variant>
      <vt:variant>
        <vt:i4>1048635</vt:i4>
      </vt:variant>
      <vt:variant>
        <vt:i4>62</vt:i4>
      </vt:variant>
      <vt:variant>
        <vt:i4>0</vt:i4>
      </vt:variant>
      <vt:variant>
        <vt:i4>5</vt:i4>
      </vt:variant>
      <vt:variant>
        <vt:lpwstr/>
      </vt:variant>
      <vt:variant>
        <vt:lpwstr>_Toc278189987</vt:lpwstr>
      </vt:variant>
      <vt:variant>
        <vt:i4>1048635</vt:i4>
      </vt:variant>
      <vt:variant>
        <vt:i4>56</vt:i4>
      </vt:variant>
      <vt:variant>
        <vt:i4>0</vt:i4>
      </vt:variant>
      <vt:variant>
        <vt:i4>5</vt:i4>
      </vt:variant>
      <vt:variant>
        <vt:lpwstr/>
      </vt:variant>
      <vt:variant>
        <vt:lpwstr>_Toc278189986</vt:lpwstr>
      </vt:variant>
      <vt:variant>
        <vt:i4>1048635</vt:i4>
      </vt:variant>
      <vt:variant>
        <vt:i4>50</vt:i4>
      </vt:variant>
      <vt:variant>
        <vt:i4>0</vt:i4>
      </vt:variant>
      <vt:variant>
        <vt:i4>5</vt:i4>
      </vt:variant>
      <vt:variant>
        <vt:lpwstr/>
      </vt:variant>
      <vt:variant>
        <vt:lpwstr>_Toc278189985</vt:lpwstr>
      </vt:variant>
      <vt:variant>
        <vt:i4>1048635</vt:i4>
      </vt:variant>
      <vt:variant>
        <vt:i4>44</vt:i4>
      </vt:variant>
      <vt:variant>
        <vt:i4>0</vt:i4>
      </vt:variant>
      <vt:variant>
        <vt:i4>5</vt:i4>
      </vt:variant>
      <vt:variant>
        <vt:lpwstr/>
      </vt:variant>
      <vt:variant>
        <vt:lpwstr>_Toc278189984</vt:lpwstr>
      </vt:variant>
      <vt:variant>
        <vt:i4>1048635</vt:i4>
      </vt:variant>
      <vt:variant>
        <vt:i4>38</vt:i4>
      </vt:variant>
      <vt:variant>
        <vt:i4>0</vt:i4>
      </vt:variant>
      <vt:variant>
        <vt:i4>5</vt:i4>
      </vt:variant>
      <vt:variant>
        <vt:lpwstr/>
      </vt:variant>
      <vt:variant>
        <vt:lpwstr>_Toc278189983</vt:lpwstr>
      </vt:variant>
      <vt:variant>
        <vt:i4>1048635</vt:i4>
      </vt:variant>
      <vt:variant>
        <vt:i4>32</vt:i4>
      </vt:variant>
      <vt:variant>
        <vt:i4>0</vt:i4>
      </vt:variant>
      <vt:variant>
        <vt:i4>5</vt:i4>
      </vt:variant>
      <vt:variant>
        <vt:lpwstr/>
      </vt:variant>
      <vt:variant>
        <vt:lpwstr>_Toc278189982</vt:lpwstr>
      </vt:variant>
      <vt:variant>
        <vt:i4>1048635</vt:i4>
      </vt:variant>
      <vt:variant>
        <vt:i4>26</vt:i4>
      </vt:variant>
      <vt:variant>
        <vt:i4>0</vt:i4>
      </vt:variant>
      <vt:variant>
        <vt:i4>5</vt:i4>
      </vt:variant>
      <vt:variant>
        <vt:lpwstr/>
      </vt:variant>
      <vt:variant>
        <vt:lpwstr>_Toc278189981</vt:lpwstr>
      </vt:variant>
      <vt:variant>
        <vt:i4>1048635</vt:i4>
      </vt:variant>
      <vt:variant>
        <vt:i4>20</vt:i4>
      </vt:variant>
      <vt:variant>
        <vt:i4>0</vt:i4>
      </vt:variant>
      <vt:variant>
        <vt:i4>5</vt:i4>
      </vt:variant>
      <vt:variant>
        <vt:lpwstr/>
      </vt:variant>
      <vt:variant>
        <vt:lpwstr>_Toc278189980</vt:lpwstr>
      </vt:variant>
      <vt:variant>
        <vt:i4>2031675</vt:i4>
      </vt:variant>
      <vt:variant>
        <vt:i4>14</vt:i4>
      </vt:variant>
      <vt:variant>
        <vt:i4>0</vt:i4>
      </vt:variant>
      <vt:variant>
        <vt:i4>5</vt:i4>
      </vt:variant>
      <vt:variant>
        <vt:lpwstr/>
      </vt:variant>
      <vt:variant>
        <vt:lpwstr>_Toc278189979</vt:lpwstr>
      </vt:variant>
      <vt:variant>
        <vt:i4>2031675</vt:i4>
      </vt:variant>
      <vt:variant>
        <vt:i4>8</vt:i4>
      </vt:variant>
      <vt:variant>
        <vt:i4>0</vt:i4>
      </vt:variant>
      <vt:variant>
        <vt:i4>5</vt:i4>
      </vt:variant>
      <vt:variant>
        <vt:lpwstr/>
      </vt:variant>
      <vt:variant>
        <vt:lpwstr>_Toc278189978</vt:lpwstr>
      </vt:variant>
      <vt:variant>
        <vt:i4>2031675</vt:i4>
      </vt:variant>
      <vt:variant>
        <vt:i4>2</vt:i4>
      </vt:variant>
      <vt:variant>
        <vt:i4>0</vt:i4>
      </vt:variant>
      <vt:variant>
        <vt:i4>5</vt:i4>
      </vt:variant>
      <vt:variant>
        <vt:lpwstr/>
      </vt:variant>
      <vt:variant>
        <vt:lpwstr>_Toc278189977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México,  D</dc:title>
  <dc:creator>María del Carmen Peláz Acero</dc:creator>
  <cp:lastModifiedBy>Default</cp:lastModifiedBy>
  <cp:revision>2</cp:revision>
  <cp:lastPrinted>2010-06-16T18:54:00Z</cp:lastPrinted>
  <dcterms:created xsi:type="dcterms:W3CDTF">2011-01-28T19:19:00Z</dcterms:created>
  <dcterms:modified xsi:type="dcterms:W3CDTF">2011-01-28T19:19:00Z</dcterms:modified>
</cp:coreProperties>
</file>